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EFC" w:rsidRPr="00001A7B" w:rsidRDefault="00695006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</w:t>
      </w:r>
    </w:p>
    <w:p w:rsidR="00001A7B" w:rsidRPr="00001A7B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ВСТУП ………………………………………………………………………..3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1. ХАРАКТЕРИСТИКА ВІЙСЬКОВОГО НА</w:t>
      </w:r>
      <w:r w:rsid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ЙМАНСТВА ЯК МІЖНАРОДНИЙ ФЕНОМЕН……………………………………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………..5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Поняття військового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йманства</w:t>
      </w:r>
      <w:proofErr w:type="spellEnd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міжнародний феномен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………….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Історія військового </w:t>
      </w:r>
      <w:proofErr w:type="spellStart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………………………………………..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2. СУЧАСНИЙ СТАН ВІЙСЬКОВОГО НАЙ</w:t>
      </w:r>
      <w:r w:rsid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МАНСТВА ТА ШЛЯХИ ЙОГО ПОДОЛАННЯ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………………………………………………....20 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2.1. Сучас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стан військового </w:t>
      </w:r>
      <w:proofErr w:type="spellStart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……………………………….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Шляхи подолання військового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…………………………..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</w:t>
      </w:r>
      <w:r w:rsid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 ………………………………………………………………..27</w:t>
      </w:r>
    </w:p>
    <w:p w:rsidR="00B65EFC" w:rsidRPr="00001A7B" w:rsidRDefault="00001A7B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  <w:r w:rsidR="00695006"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…………………………...29</w:t>
      </w:r>
    </w:p>
    <w:p w:rsidR="00B65EFC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br w:type="column"/>
      </w:r>
      <w:r w:rsidR="00695006"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001A7B" w:rsidRPr="00001A7B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Розповсюдження приватних військових компаній в останні десятиліття загострює питання про виправданість та правомірність їхньої діяльності. Дуже тонка межа між приватними військовими компаніями та найманими військами робить відповідь на питання про статус згаданих компаній неоднозначним. Заборона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міжнародно-правовому рівні робить діяльність приватних військових компаній об’єктом прискіпливої уваги збоку міжнародного співтовариства. В цьому контексті ми вважаємо плідним придивитись до проблеми існування найманих військ в історичному аспекті. Довгі століття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цілком правомірною діяльністю, яку регулювали міждержавні угоди та державні правові акти. Постає цілком імовірним, що саме погляд убік відносин найманих військ та держави в історичному аспекті може відкрити для нас додаткові аспекти розуміння діяльності приватних військових компаній. 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військове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, як міжнародний феномен.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Об’єктом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виступає такий міжнародний феномен, як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характеристика військового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досягається через поставленні </w:t>
      </w: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Робота складається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вступу, двох розділів, чотирьох підрозділів, висновків, списку використаної літератури. Курсове дослідження викладене на 31 сторінці зі списком 25 використаних джерел.</w:t>
      </w:r>
    </w:p>
    <w:p w:rsidR="00B65EFC" w:rsidRPr="00001A7B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column"/>
      </w:r>
      <w:r w:rsidR="00695006"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РОЗДІЛ 1. ХАРАКТЕРИСТИКА ВІЙСЬКОВОГО НАЙМАНСТВА ЯК МІЖНАРОДНИЙ ФЕНОМЕН</w:t>
      </w:r>
    </w:p>
    <w:p w:rsidR="00B65EFC" w:rsidRPr="00001A7B" w:rsidRDefault="00B65EFC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1.1. Поняття військового </w:t>
      </w:r>
      <w:proofErr w:type="spellStart"/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 міжнародний феномен</w:t>
      </w:r>
    </w:p>
    <w:p w:rsidR="00001A7B" w:rsidRDefault="00001A7B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терміна «найманець», закріплене у ст. 1 Конвенції, передбачає, що найманцями можуть бути особи, які беруть участь як у збройному конфлікті (міжнародному збройному конфлікті або збройному конфлікті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неміжнародного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характеру відповідно до визначень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, закріплених у ст. 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Женевських конвенцій від 12 серпня 1949 р. про захист жертв війни й Додаткових протоколів І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II до них), так і в спільних насильницьких діях, які не є збройним конфліктом. Визначення найманця, який бере участь у збройному конфлікті, у ч. 1 ст. 1 Конвенції 1989 р. тотожне з визначенням найманця у ч. 1 ст. 47 Додаткового протоколу І.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ж найманця, який бере участь у спільних насильницьких діях, передбачає, що найманцем визнається особа, яка не є громадянином держави, проти якої спрямовані дії найманця, або її постійним жителем, яка була завербована на місці або за кордоном для участі у спільних насильницьких діях, спрямованих на повалення уряду або інший підрив конституційного порядку держави або її територіальної цілісності, яка безпосередньо бере участь у таких діях, причому, так само як і найманець, який бере участь у збройному конфлікті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керується головним чином бажанням одержати значну особисту вигоду і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спонукається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цього обіцянкою виплати або виплатою матеріальної винагороди; не прислана державою для виконання офіційних обов'язків, і не входить в особовий склад збройних сил держави, на території якої відбуваються дані спільні насильницькі дії [1, с. 75].</w:t>
      </w:r>
    </w:p>
    <w:p w:rsidR="00B65EFC" w:rsidRPr="00001A7B" w:rsidRDefault="00B65EFC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1.2. Історія військового </w:t>
      </w:r>
      <w:proofErr w:type="spellStart"/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найманства</w:t>
      </w:r>
      <w:proofErr w:type="spellEnd"/>
    </w:p>
    <w:p w:rsidR="00001A7B" w:rsidRDefault="00001A7B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Розповсюдження приватних військових компаній в останні десятиліття загострює питання про виправданість та правомірність їхньої діяльності. Дуже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тонка межа між приватними військовими компаніями та найманими військами робить відповідь на питання про статус згаданих компаній неоднозначним. Заборона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міжнародно-правовому рівні робить діяльність приватних військових компаній об’єктом прискіпливої уваги збоку міжнародного співтовариства. В цьому контексті ми вважаємо плідним придивитись до проблеми існування найманих військ в історичному аспекті. Довгі століття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цілком правомірною діяльністю, яку регулювали міждержавні угоди та державні правові акти. Постає цілком імовірним, що саме погляд убік відносин найманих військ та держави в історичному аспекті може відкрити для нас додаткові аспекти розуміння діяльності приватних військових компаній [11, с.143]. </w:t>
      </w:r>
    </w:p>
    <w:p w:rsidR="00B65EFC" w:rsidRPr="00001A7B" w:rsidRDefault="00695006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2. СУЧАСНИЙ СТАН ВІЙСЬКОВОГО НАЙМАНСТВА ТА ШЛЯХИ ЙОГО ПОДОЛАННЯ</w:t>
      </w:r>
    </w:p>
    <w:p w:rsidR="00B65EFC" w:rsidRPr="00001A7B" w:rsidRDefault="00B65EFC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2.1. Сучасний стан військового </w:t>
      </w:r>
      <w:proofErr w:type="spellStart"/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найманства</w:t>
      </w:r>
      <w:proofErr w:type="spellEnd"/>
    </w:p>
    <w:p w:rsidR="00001A7B" w:rsidRDefault="00001A7B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сучасному світі феномен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залишається складною та докорінно невирішеною з юридичної точки зору проблемою. В останні роки, незважаючи на міжнародно-правові норми щодо кримінально-правової заборони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все частіше фіксуються випадки використання іноземців для участі у внутрішніх та міжнародних збройний конфліктах. В Україні за останні чотири роки проблема протидії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найманству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перейшла з теоретичної площини у практичну. Згідно з даними Робочої групи ООН з питань використання найманців у 2016 р. в Україні зафіксовано участь щонайменше 176 іноземних найманців на боці Донецької та Луганської народних республік1. Відповідно до офіційних повідомлень та інформації зі ЗМ1 ці цифри продовжують зростати. У тож самий час, незважаючи на наявність кримінально-правової заборони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згадані випадки не отримують правильної кваліфікації. Відповідно до офіційної статистики в Україні лише один раз у 2016 р. порушувалася кримінальна справа за ст. 447 КК України,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проте до суду вона передана не була. Все вищевикладене призводить до необхідності розгляду питання кваліфікації випадків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ефективності кримінально-правового регулювання цього питання [18, с. 348]. </w:t>
      </w:r>
    </w:p>
    <w:p w:rsidR="00B65EFC" w:rsidRPr="00001A7B" w:rsidRDefault="00B65EFC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2.2. Шляхи подолання військового </w:t>
      </w:r>
      <w:proofErr w:type="spellStart"/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найманства</w:t>
      </w:r>
      <w:proofErr w:type="spellEnd"/>
    </w:p>
    <w:p w:rsidR="00001A7B" w:rsidRDefault="00001A7B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Міжнародні правові документи підкреслюють необхідність протидії всіма можливими способами використанню іноземців у вчиненні насильницьких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правопорушень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території інших держав. Так, наприклад, Резолюція Ради Безпеки ООН 2178 (2014), прийнята 24.09.2014 р., концентрує увагу на діяльності іноземних бойовиків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терористів [25]. Особливу увагу Рада Безпеки ООН приділила необхідності протидії терористичним загрозам на території країн походження, транзиту та признання бойовиків та переміщення засобів підтримки терористичних організацій, а також на території країн, суміжних з районами військового конфлікту. Як вже зазначалося раніше, на практиці діяльність терористів-найманців та найманців як суб’єктів міжнародних військових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правопорушень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складно відмежувати. Враховуючи значні складності в доведенні складу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правопорушення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вбачається, що зміщення вектору з протидії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найманству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протидію діяльності терористичних угрупувань, які також користуються послугами іноземних бойовиків, продиктований насамперед практичними чинниками [11, с. 144-145]. </w:t>
      </w:r>
    </w:p>
    <w:p w:rsidR="00B65EFC" w:rsidRDefault="00695006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ВИСНОВКИ</w:t>
      </w:r>
    </w:p>
    <w:p w:rsidR="00001A7B" w:rsidRPr="00001A7B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найманця визначене у ст. 47 Додаткового протоколу І 1977 р. до Женевських конвенцій про захист жертв війни, а також у «Міжнародній конвенції про боротьбу з вербуванням, використанням, фінансуванням і навчанням найманців», прийнятій Генеральною Асамблеєю ООН 4 грудня 1989 р. Найманцем визнається за сукупністю ознак особа, яка: 1) спеціально завербована на місці або за кордоном, щоб битися у збройному конфлікті або у спільних насильницьких діях, спрямованих на повалення уряду чи інший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підрив конституційного порядку держави або підрив її територіальної цілісності; 2) беручи участь у таких діях, керується головним чином бажанням одержати значну особисту вигоду; 3) не є громадянином сторони, що перебуває в конфлікті, або держави, проти якої спрямовані спільні насильницькі дії; 4) не є постійним жителем на території, яка контролюється стороною, що перебуває в конфлікті, або держави, проти якої спрямовані спільні насильницькі дії; 5) не входить до особового складу збройних сил сторони, що перебуває у конфлікті, або держави, на території якої здійснюються спільні насильницькі дії; 6) не надіслана державою для виконання офіційних обов’язків.</w:t>
      </w:r>
    </w:p>
    <w:p w:rsidR="00B65EFC" w:rsidRDefault="00695006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001A7B" w:rsidRPr="00001A7B" w:rsidRDefault="00001A7B" w:rsidP="00001A7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соціальне та кримінально-правове явище: сутність, новітні тенденції розвитку та проблеми протидії. Монографія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, 2005. 264 с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Гаазька конвенція про права й обов’язки нейтральних держав і осіб у в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ипадку сухопутної війни 1907 р. URL: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7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http://zakon1.rada.gov.ua/cgi-bin/laws/main.cgi?nreg=995_193</w:t>
        </w:r>
      </w:hyperlink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Резолюция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№2465 (XXIII) «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Осуществление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Декларации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независимости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колониальным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странам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народам» 2008 р.: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http://daccess‑ods.un.org/access.nsf/Get?OpenAgent&amp;DS=A/RES/2465(XXIII)</w:t>
        </w:r>
      </w:hyperlink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Ботнік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О.Ю. Визначення поняття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“найманець”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міжнародно-правових актах універсального характеру. </w:t>
      </w:r>
      <w:hyperlink r:id="rId9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Інститут права ім. І. Малиновського</w:t>
        </w:r>
      </w:hyperlink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2011. С.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https://naub.oa.edu.ua/2011/vyznachennya-ponyattya-najmanets-v-mizhnarodno-pravovyh-aktah-universalnoho-harakteru/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діяльності найманців на здійснення права народів на самов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изначення. Виклад фактів № 28.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ГО «Харківська правозахисна група».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Харків, 2020.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44 с.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Потапов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Розвиток норм міжнародного права за відповідальність за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Юридична газета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2002.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№ 16. С. 4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Бондар Ю.В.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міжнародному праві. Національний юридичний університет імені Ярослава Мудрого. 2017.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Макфат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Сучасний наймит: приватні армії та що вони означають для світового порядку. Оксфорд Університетська преса. 2014. 235 с.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Наден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соціальне та кримінально-правове явище: сутність, новітні тенденції розвитку та проблеми протидії. К. :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, 2005. 264 c.</w:t>
      </w:r>
    </w:p>
    <w:p w:rsidR="00B65EFC" w:rsidRPr="00001A7B" w:rsidRDefault="00001A7B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006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Громовенко</w:t>
      </w:r>
      <w:proofErr w:type="spellEnd"/>
      <w:r w:rsidR="00695006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В. Міжнародно-правове регулювання діяльності приватних військових та охоронних підприємств: автореф. дис. ... канд. </w:t>
      </w:r>
      <w:proofErr w:type="spellStart"/>
      <w:r w:rsidR="00695006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юрид</w:t>
      </w:r>
      <w:proofErr w:type="spellEnd"/>
      <w:r w:rsidR="00695006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 : 12.00.11. Одеса, 2014. 20 с.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Юртаєва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 Кваліфікація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: національний та міжнародн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о-правовий аспекти. </w:t>
      </w:r>
      <w:r w:rsidR="00001A7B"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Форум права.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2018. (3). С. 141–148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Громовенко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В.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Історико-правовий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військового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античній, середньовічній та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ранньомодерній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Європі. </w:t>
      </w:r>
      <w:r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Актуальні проблеми політики.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2013. Вип. 49. С. 304-315.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Маринович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П. Грецьке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IV в. до н. е. Наука, 1975.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278 с.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Мацюк І.І. Початки європейських професійних армій: Джон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Хоквуд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. Інституційне сховище Національного університету "Львівська політехніка". 2014. С. 133-141.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Луговий О. М. Деякі аспекти існування дружин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русів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варангів</w:t>
      </w:r>
      <w:proofErr w:type="spellEnd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Візантії Х-ХII ст. </w:t>
      </w:r>
      <w:proofErr w:type="spellStart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Дриновський</w:t>
      </w:r>
      <w:proofErr w:type="spellEnd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збірник. Харків-Софія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: Академічне видавництво ім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проф. Марина </w:t>
      </w:r>
      <w:proofErr w:type="spellStart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Дринова</w:t>
      </w:r>
      <w:proofErr w:type="spellEnd"/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, 2008. Т. II.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108-114.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Пісов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П.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сутність, новітні тенденції розвитку та проблеми протидії. 2017. С. 417-420.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Кримінальний кодекс України. </w:t>
      </w:r>
      <w:r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Відомості Верховної Ради</w:t>
      </w:r>
      <w:r w:rsidR="00001A7B"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України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1A7B"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(ВВР).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2001. № 25-26. С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131. URL: </w:t>
      </w:r>
      <w:hyperlink r:id="rId10" w:anchor="Text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https://zakon.rada.gov.ua/laws/show/2341-14#Text</w:t>
        </w:r>
      </w:hyperlink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Юртаєва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 Сучасне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: проблеми кваліфікації та кримінально-правового регулювання. 2015. С. 348-350.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Доклад Другої наради експертів з питання про традиційні і нові форми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засіб порушення прав людини і протидія здійсненню прав народів на самовизначення: Женева, 13-17 травня 2002 г. 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URL: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://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www.un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org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Вплив діяльності найманців на здійснення прав народів на самопізнання: Резолюція 1987/16 Комісії по правам людини про призначення спеціального доповідача з питання про найманців</w:t>
      </w:r>
      <w:r w:rsid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URL:</w:t>
      </w:r>
      <w:r w:rsidR="00001A7B"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http://www.un.org</w:t>
        </w:r>
      </w:hyperlink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Мохончук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Генезис і еволюційний розвиток кримінально-правової оцінки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найманства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міжнародному кримінальному праві. </w:t>
      </w:r>
      <w:r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Юрист України. 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2012. № 3 (20). С. 82–87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Нікіфорова Т. І. Звільнення від кримінальної відповідальності за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найманство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01A7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Університетські наукові записки.</w:t>
      </w: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2016. № 57. С. 175–182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Громовенко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В. Міжнародно-правове регулювання діяльності приватних військових та охоронних підприємств: автореф. дис. ... канд. </w:t>
      </w:r>
      <w:proofErr w:type="spellStart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наук : 12.00.11. Одеса, 2014. 20 с. </w:t>
      </w:r>
    </w:p>
    <w:p w:rsidR="00B65EFC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Міжнародна конвенція про боротьбу з вербуванням, використанням, фінансуванням і навчанням найманців 1989 р. URL: </w:t>
      </w:r>
      <w:hyperlink r:id="rId12">
        <w:r w:rsidRPr="00001A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/>
          </w:rPr>
          <w:t>http://zakon3.rada.gov.ua/laws/show/995_103</w:t>
        </w:r>
      </w:hyperlink>
    </w:p>
    <w:p w:rsidR="00001A7B" w:rsidRPr="00001A7B" w:rsidRDefault="00695006" w:rsidP="00001A7B">
      <w:pPr>
        <w:pStyle w:val="normal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1A7B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охоронну діяльність: Закон України від 22.03.2012 № 4616–VI. URL: http://zakon5.rada.gov.ua/laws/show/4616-17/ed20121017.</w:t>
      </w:r>
    </w:p>
    <w:sectPr w:rsidR="00001A7B" w:rsidRPr="00001A7B" w:rsidSect="00001A7B">
      <w:headerReference w:type="default" r:id="rId13"/>
      <w:pgSz w:w="11906" w:h="16838"/>
      <w:pgMar w:top="1134" w:right="567" w:bottom="1134" w:left="170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1C" w:rsidRDefault="0020581C" w:rsidP="00B65EFC">
      <w:pPr>
        <w:spacing w:line="240" w:lineRule="auto"/>
      </w:pPr>
      <w:r>
        <w:separator/>
      </w:r>
    </w:p>
  </w:endnote>
  <w:endnote w:type="continuationSeparator" w:id="0">
    <w:p w:rsidR="0020581C" w:rsidRDefault="0020581C" w:rsidP="00B65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1C" w:rsidRDefault="0020581C" w:rsidP="00B65EFC">
      <w:pPr>
        <w:spacing w:line="240" w:lineRule="auto"/>
      </w:pPr>
      <w:r>
        <w:separator/>
      </w:r>
    </w:p>
  </w:footnote>
  <w:footnote w:type="continuationSeparator" w:id="0">
    <w:p w:rsidR="0020581C" w:rsidRDefault="0020581C" w:rsidP="00B65E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FC" w:rsidRDefault="007C04E6">
    <w:pPr>
      <w:pStyle w:val="normal"/>
      <w:jc w:val="right"/>
    </w:pPr>
    <w:r>
      <w:fldChar w:fldCharType="begin"/>
    </w:r>
    <w:r w:rsidR="00695006">
      <w:instrText>PAGE</w:instrText>
    </w:r>
    <w:r>
      <w:fldChar w:fldCharType="separate"/>
    </w:r>
    <w:r w:rsidR="00317AF5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F4"/>
    <w:multiLevelType w:val="multilevel"/>
    <w:tmpl w:val="23FAB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015BDE"/>
    <w:multiLevelType w:val="multilevel"/>
    <w:tmpl w:val="252A3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FC"/>
    <w:rsid w:val="00001A7B"/>
    <w:rsid w:val="0020581C"/>
    <w:rsid w:val="00317AF5"/>
    <w:rsid w:val="00695006"/>
    <w:rsid w:val="007C04E6"/>
    <w:rsid w:val="00B6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E6"/>
  </w:style>
  <w:style w:type="paragraph" w:styleId="1">
    <w:name w:val="heading 1"/>
    <w:basedOn w:val="normal"/>
    <w:next w:val="normal"/>
    <w:rsid w:val="00B65E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65E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65E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65E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65EF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65E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EFC"/>
  </w:style>
  <w:style w:type="table" w:customStyle="1" w:styleId="TableNormal">
    <w:name w:val="Table Normal"/>
    <w:rsid w:val="00B65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EF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65EF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cgi-bin/laws/main.cgi?nreg=995_193" TargetMode="External"/><Relationship Id="rId12" Type="http://schemas.openxmlformats.org/officeDocument/2006/relationships/hyperlink" Target="http://zakon3.rada.gov.ua/laws/show/995_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b.oa.edu.ua/category/departments/la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Ilienkova</cp:lastModifiedBy>
  <cp:revision>5</cp:revision>
  <dcterms:created xsi:type="dcterms:W3CDTF">2021-04-28T12:13:00Z</dcterms:created>
  <dcterms:modified xsi:type="dcterms:W3CDTF">2021-04-28T12:22:00Z</dcterms:modified>
</cp:coreProperties>
</file>