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5310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EEF6693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13F0678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9E8072E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5684488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C19E08F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7C8AEE9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8EAD5C6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КУРСОВА РОБОТА</w:t>
      </w:r>
    </w:p>
    <w:p w14:paraId="3417B817" w14:textId="682A747D" w:rsidR="00020C47" w:rsidRPr="00157207" w:rsidRDefault="00020C47" w:rsidP="0015720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Тема: 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Особливост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проведення огляду 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збору сл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дової 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нформац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ї на м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сц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крим</w:t>
      </w:r>
      <w:r w:rsid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нального вибуху</w:t>
      </w:r>
    </w:p>
    <w:p w14:paraId="0CFE15D0" w14:textId="77777777" w:rsidR="00E809FC" w:rsidRPr="00157207" w:rsidRDefault="00E809FC" w:rsidP="00157207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977CAC" w14:textId="77777777" w:rsidR="00C15D76" w:rsidRPr="00157207" w:rsidRDefault="00C15D76" w:rsidP="0015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A89D3A" w14:textId="564FB3C3" w:rsidR="00020C47" w:rsidRPr="00157207" w:rsidRDefault="00157207" w:rsidP="0015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="00020C47"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020C47"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</w:t>
      </w:r>
    </w:p>
    <w:p w14:paraId="1CA49722" w14:textId="77777777" w:rsidR="00020C47" w:rsidRPr="00157207" w:rsidRDefault="00020C47" w:rsidP="0015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46BDC1" w14:textId="31EEBCC4" w:rsidR="00020C47" w:rsidRPr="00157207" w:rsidRDefault="003B61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ВСТУП</w:t>
      </w:r>
      <w:r w:rsidR="00C15D76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</w:t>
      </w:r>
      <w:r w:rsidR="00891E6E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…...</w:t>
      </w:r>
      <w:r w:rsidR="00C15D76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</w:t>
      </w:r>
      <w:r w:rsidR="00891E6E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</w:t>
      </w:r>
      <w:r w:rsidR="0015720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</w:t>
      </w:r>
      <w:r w:rsidR="00891E6E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…3</w:t>
      </w:r>
    </w:p>
    <w:p w14:paraId="41EA7D1D" w14:textId="75C5122D" w:rsidR="003B6114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РОЗД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 1. ОСОБЛВОСТ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ЗАЦ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 ОГЛЯДУ М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СЦЯ ВИБУХУ</w:t>
      </w:r>
      <w:r w:rsidR="00891E6E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……………………………………………………………….…………</w:t>
      </w:r>
      <w:r w:rsidR="0015720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..</w:t>
      </w:r>
      <w:r w:rsidR="00891E6E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..5</w:t>
      </w:r>
    </w:p>
    <w:p w14:paraId="5BCE9FDE" w14:textId="70A66DBC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1.1.Початкова стад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вибуху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9E06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</w:p>
    <w:p w14:paraId="20D7FBCA" w14:textId="0C1BD1C3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1.2. Заключна стад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вибуху</w:t>
      </w:r>
      <w:r w:rsidR="009E06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9E06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</w:p>
    <w:p w14:paraId="18E33CB1" w14:textId="12DFB7F8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РОЗД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 2. ЗБ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 СЛ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ДОВОЇ 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НФОРМАЦ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 НА М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КРИМ</w:t>
      </w:r>
      <w:r w:rsid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НАЛЬНОГО ВИБУХУ</w:t>
      </w:r>
      <w:r w:rsidR="009E0683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</w:t>
      </w:r>
      <w:r w:rsidR="0015720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E0683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….</w:t>
      </w:r>
      <w:r w:rsidR="00B0451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</w:t>
      </w:r>
    </w:p>
    <w:p w14:paraId="609C10A4" w14:textId="1128F694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2.1. Особливост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виявлення, 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ксац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вилучення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вибуху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…..15</w:t>
      </w:r>
    </w:p>
    <w:p w14:paraId="5E374236" w14:textId="150F104E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2.2. Заходи безпеки при огляд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фактом вибуху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…20</w:t>
      </w:r>
    </w:p>
    <w:p w14:paraId="08F3FB45" w14:textId="6B49019D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ВИСНОВКИ</w:t>
      </w:r>
      <w:r w:rsidR="00B0451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……………………………………………..………………...</w:t>
      </w:r>
      <w:r w:rsidR="0015720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..</w:t>
      </w:r>
      <w:r w:rsidR="00B0451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</w:t>
      </w:r>
    </w:p>
    <w:p w14:paraId="12FB3DE4" w14:textId="4EE8869B" w:rsidR="005A6291" w:rsidRPr="00157207" w:rsidRDefault="005A6291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ВИКОРИСТАНИХ ДЖЕРЕЛ</w:t>
      </w:r>
      <w:r w:rsidR="00B0451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</w:t>
      </w:r>
      <w:r w:rsidR="0015720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..</w:t>
      </w:r>
      <w:r w:rsidR="00B04517" w:rsidRPr="00157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………26</w:t>
      </w:r>
    </w:p>
    <w:p w14:paraId="2F8B9538" w14:textId="29B37D58" w:rsidR="00C15D76" w:rsidRPr="00157207" w:rsidRDefault="00157207" w:rsidP="0015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="00C15D76"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ВСТУП</w:t>
      </w:r>
    </w:p>
    <w:p w14:paraId="18E856DE" w14:textId="77777777" w:rsidR="00C15D76" w:rsidRPr="00157207" w:rsidRDefault="00C15D76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4594E1A" w14:textId="040EB538" w:rsidR="00A86CF3" w:rsidRPr="00157207" w:rsidRDefault="00C15D76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сть теми.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показує, що розсл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дування правопорушень, пов'язаних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застосуванням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викликає 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труднощ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полягають у збереженн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картини п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сля вибуху, своєчасност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проведення огляду 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сця под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виявленн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вилученн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вибуху вибухового пристрою та 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досл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Тому, в нашому досл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визначаємо категор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як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залишаються при виготовленн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вибухового пристрою, п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дготовц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вибуху, п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A86CF3"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сля вибуху. </w:t>
      </w:r>
    </w:p>
    <w:p w14:paraId="111611EA" w14:textId="430072EA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тичн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ни, що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дбуваються в Україн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цьому етап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розвитку, супроводжуються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сними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нами у сфер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3D4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кримінальної протиправності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Кримінальні протиправні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сть набуває все 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льш орган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зованих форм, ускладнюються методи вчинення та приховування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правопорушень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зб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льшується 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сть заздалег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дь спланованих тяжких та особливо тяжких насильницьких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правопорушень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Посиленню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ногенної ситуац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 в країн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сприяє багато фактор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але основними з них є: бойов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 на сход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країни, економ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чний спад, реформа правоохоронних орган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безроб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ття, низький 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вень життя та корупц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14:paraId="38621DCD" w14:textId="166BE1FF" w:rsidR="00891E6E" w:rsidRPr="00157207" w:rsidRDefault="00C15D76" w:rsidP="005442A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 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завдання досл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дження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Мета даної роботи 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</w:t>
      </w:r>
      <w:r w:rsidR="00A86CF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ообливостей проведення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збору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дової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нформац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вибуху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1E0596" w14:textId="24332267" w:rsidR="00C15D76" w:rsidRPr="00157207" w:rsidRDefault="00C15D76" w:rsidP="001572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Об’єктом досл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дження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 процес вивчення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ообливостей проведення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збору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дової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нформац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91E6E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вибуху.</w:t>
      </w:r>
    </w:p>
    <w:p w14:paraId="45C9033D" w14:textId="51D9C091" w:rsidR="00C15D76" w:rsidRPr="00157207" w:rsidRDefault="00C15D76" w:rsidP="00157207">
      <w:pPr>
        <w:pStyle w:val="ab"/>
        <w:spacing w:line="360" w:lineRule="auto"/>
        <w:ind w:left="0" w:firstLine="709"/>
        <w:rPr>
          <w:b/>
          <w:color w:val="000000" w:themeColor="text1"/>
          <w:sz w:val="28"/>
          <w:szCs w:val="28"/>
          <w:lang w:val="uk-UA"/>
        </w:rPr>
      </w:pPr>
      <w:r w:rsidRPr="00157207">
        <w:rPr>
          <w:b/>
          <w:color w:val="000000" w:themeColor="text1"/>
          <w:sz w:val="28"/>
          <w:szCs w:val="28"/>
          <w:lang w:val="uk-UA"/>
        </w:rPr>
        <w:t>Предметом досл</w:t>
      </w:r>
      <w:r w:rsidR="00157207">
        <w:rPr>
          <w:b/>
          <w:color w:val="000000" w:themeColor="text1"/>
          <w:sz w:val="28"/>
          <w:szCs w:val="28"/>
          <w:lang w:val="uk-UA"/>
        </w:rPr>
        <w:t>і</w:t>
      </w:r>
      <w:r w:rsidRPr="00157207">
        <w:rPr>
          <w:b/>
          <w:color w:val="000000" w:themeColor="text1"/>
          <w:sz w:val="28"/>
          <w:szCs w:val="28"/>
          <w:lang w:val="uk-UA"/>
        </w:rPr>
        <w:t>дження є</w:t>
      </w:r>
      <w:r w:rsidR="00891E6E" w:rsidRPr="00157207">
        <w:rPr>
          <w:color w:val="000000" w:themeColor="text1"/>
          <w:sz w:val="28"/>
          <w:szCs w:val="28"/>
          <w:lang w:val="uk-UA"/>
        </w:rPr>
        <w:t xml:space="preserve"> огляд м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 xml:space="preserve">сця 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 xml:space="preserve"> зб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 xml:space="preserve">р 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>нформац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>ї щодо крим</w:t>
      </w:r>
      <w:r w:rsidR="00157207">
        <w:rPr>
          <w:color w:val="000000" w:themeColor="text1"/>
          <w:sz w:val="28"/>
          <w:szCs w:val="28"/>
          <w:lang w:val="uk-UA"/>
        </w:rPr>
        <w:t>і</w:t>
      </w:r>
      <w:r w:rsidR="00891E6E" w:rsidRPr="00157207">
        <w:rPr>
          <w:color w:val="000000" w:themeColor="text1"/>
          <w:sz w:val="28"/>
          <w:szCs w:val="28"/>
          <w:lang w:val="uk-UA"/>
        </w:rPr>
        <w:t>нального вибуху</w:t>
      </w:r>
      <w:r w:rsidRPr="00157207">
        <w:rPr>
          <w:color w:val="000000" w:themeColor="text1"/>
          <w:sz w:val="28"/>
          <w:szCs w:val="28"/>
          <w:lang w:val="uk-UA"/>
        </w:rPr>
        <w:t xml:space="preserve">. </w:t>
      </w:r>
    </w:p>
    <w:p w14:paraId="6A34F1AB" w14:textId="43C99F9F" w:rsidR="00A86CF3" w:rsidRPr="00157207" w:rsidRDefault="00A86CF3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 1. ОСОБЛВОСТ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ЗАЦ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Ї ОГЛЯДУ 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СЦЯ ВИБУХУ</w:t>
      </w:r>
    </w:p>
    <w:p w14:paraId="0C280F81" w14:textId="77777777" w:rsidR="00A86CF3" w:rsidRPr="00157207" w:rsidRDefault="00A86CF3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E78E4B" w14:textId="42DAEE7A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1.1.Початкова стад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огляду 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сця вибуху</w:t>
      </w:r>
    </w:p>
    <w:p w14:paraId="751D8864" w14:textId="77777777" w:rsidR="00157207" w:rsidRDefault="00157207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4AC990" w14:textId="06F092AD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статистики 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 св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ту доводить, що у випадках застосування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для 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снення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протиправних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правопорушників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стають 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льш вдалими, 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ж при використанн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вогнепально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5234599" w14:textId="102E41AE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враховувати, що кожни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вибух залежно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потужност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вражати велику 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сть люде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завдавати значн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пошкодження навколишн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 об’єктам. Це призводить до матер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альних збитк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дестаб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зує сусп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льно-пол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тичну ситуац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ю у держав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ускладнює оперативну обстановку, викликає у люде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 за ма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бутнє. Тому боротьба з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кримінальні протиправні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стю, вчинюваною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застосуванням ВР та ВП, належить до одного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актуальних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оритетних напрям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яльност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правоохоронних орган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[1]. </w:t>
      </w:r>
    </w:p>
    <w:p w14:paraId="0531BF79" w14:textId="7FEDADD9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вибухом розум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ють – процес вид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лення енерг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коротки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жок часу, пов’язани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миттєвою 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зико-х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чною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ною стану речовини, яка призводить до виникнення стрибка тиску або ударно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хвил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що супроводжується утворенням стиснутих сильно нагр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тих газ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або пари, здатних виконувати механ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чну роботу [2]. </w:t>
      </w:r>
    </w:p>
    <w:p w14:paraId="29DBFFB8" w14:textId="77777777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EDF647" w14:textId="51453398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Заключна стад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огляду 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сця вибуху</w:t>
      </w:r>
    </w:p>
    <w:p w14:paraId="461C2F3C" w14:textId="77777777" w:rsidR="00157207" w:rsidRDefault="00157207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0E0A16" w14:textId="3107598C" w:rsidR="009E0683" w:rsidRPr="00157207" w:rsidRDefault="009E068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Огляд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фактами вибух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виявлення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є одним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на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льш складних вид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огляду. Це значною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рою обумовлено небезпекою та резонантн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стю 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нальних правопорушень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що 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снюються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застосуванням таких засоб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в. Здеб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льшого вони тягнуть людськ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жертви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нування. Мотивац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кримінального правопорушення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бути на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зноман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шою: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терористичного акту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вимагання до протид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дуванню чи судовому розгляду. </w:t>
      </w:r>
    </w:p>
    <w:p w14:paraId="58A5D76A" w14:textId="10AB7FF2" w:rsidR="009E0683" w:rsidRPr="00157207" w:rsidRDefault="009E068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У 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нальних проваджень огляд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має ряд особливосте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стотно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зняють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ого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огляд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нших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правопорушеннях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Досл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дження матер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ально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обстановки таких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сць пов'язане з подоланням ускладнюючих обставин, обумовлених небезпечн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стю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або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кою насл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вибуху. Серед них: а) знищення значно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частки матер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ально-ф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ксованих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єю реакц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вибуху; б) значне ру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нування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пошкодження навколишньо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обстановки; в) проведення рятувальних та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дновлювальних роб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т, та надання нев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дкладно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допомоги постраждалим, при цьому, необх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дно забезпечити збереження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кримінального правопорушника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рваного вибухового пристрою [7, с. 216]. </w:t>
      </w:r>
    </w:p>
    <w:p w14:paraId="5CBF6F24" w14:textId="28FD6224" w:rsidR="00A86CF3" w:rsidRPr="00157207" w:rsidRDefault="00A86CF3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 2. ЗБ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СЛ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ДОВОЇ 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Ї НА 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КРИМ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НАЛЬНОГО ВИБУХУ</w:t>
      </w:r>
    </w:p>
    <w:p w14:paraId="37179045" w14:textId="77777777" w:rsidR="00840663" w:rsidRPr="00157207" w:rsidRDefault="0084066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0678E4" w14:textId="2F2B453C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Особливост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виявлення, ф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ксац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вилучення сл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вибуху </w:t>
      </w:r>
    </w:p>
    <w:p w14:paraId="0FA6F78D" w14:textId="77777777" w:rsidR="00157207" w:rsidRDefault="00157207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883CA" w14:textId="58FA2695" w:rsidR="00840663" w:rsidRPr="00157207" w:rsidRDefault="0084066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нальни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процесуальни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Укра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[</w:t>
      </w:r>
      <w:r w:rsidR="008B6214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] передбачає використання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альних знань у форм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проведення експертизи, участ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ста у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дчих (розшукових)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ях. </w:t>
      </w:r>
    </w:p>
    <w:p w14:paraId="53C4C8BA" w14:textId="4AB99170" w:rsidR="00840663" w:rsidRPr="00157207" w:rsidRDefault="0084066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час розсл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дування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нальних правопорушень, вчинених шляхом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дпалу, використання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альних знань 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снюється шляхом: залучення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для участ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проведенн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дчих (розшукових)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; проведення судових експертиз; проведення 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зних перев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рок, обстежень; одержання дов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док та консультац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знаючих 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б; витребування та використання документ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складаються такими особами, у ход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службово</w:t>
      </w:r>
      <w:r w:rsidR="00B0451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яльност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; допиту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як св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або судових експерт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якщо вони брали участь у проведенн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судових експертиз [</w:t>
      </w:r>
      <w:r w:rsidR="008B6214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542]. </w:t>
      </w:r>
    </w:p>
    <w:p w14:paraId="1DC1974D" w14:textId="77777777" w:rsidR="00840663" w:rsidRPr="00157207" w:rsidRDefault="0084066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D629FC" w14:textId="554B4BF9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Заходи безпеки при огляд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сця под</w:t>
      </w:r>
      <w:r w:rsid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фактом вибуху </w:t>
      </w:r>
    </w:p>
    <w:p w14:paraId="53C4130B" w14:textId="77777777" w:rsidR="00157207" w:rsidRDefault="00157207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56731" w14:textId="13739266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Першочерговою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єю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час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вживання заход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безпеки та запоб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гання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ншим шк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дливим насл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дкам. </w:t>
      </w:r>
    </w:p>
    <w:p w14:paraId="2D247095" w14:textId="5A1D9734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Видаляючи сторонн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вибуху,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з’ясувати, чи не є вони очевидцями вибуху, якщо були – заф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ксувати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установч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час опитування очевидц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з’ясовують: чи пере- дувала вибуху поява диму або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полум’я;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 сила вибуху, кол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 диму, характер звуку в момент вибуху, один був вибух чи 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льше, яка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посл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довн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сть за часом та силою,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ким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якою метою були внесен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обстановку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; кого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дозрюють у 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сненн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вибуху, як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прикмети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нш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риси, у якому напрям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зникла ця особа; у зв’язку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 чим очевидець опинився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вибуху, де перебував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чим за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мався в момент вибуху. </w:t>
      </w:r>
    </w:p>
    <w:p w14:paraId="69FFDD4B" w14:textId="0558738B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Детальни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огляд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вибуху має певн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залежно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того, де вчинено терористични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– у прим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щенн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сцевост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Якщо вибух учинено в прим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щенн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то огляд доц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льно проводити двома групами: одна працює в прим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щенн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нша – поза ним. </w:t>
      </w:r>
    </w:p>
    <w:p w14:paraId="25FCB2FD" w14:textId="1BAACE94" w:rsidR="00A86CF3" w:rsidRPr="00157207" w:rsidRDefault="00A86CF3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14:paraId="6A6B66A1" w14:textId="77777777" w:rsidR="00C05952" w:rsidRPr="00157207" w:rsidRDefault="00C05952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4D1CB5" w14:textId="159158CB" w:rsidR="008F034F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дсумовуючи вищевикладене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зазначити, що 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вибухом розум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ють – процес вид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лення енерг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коротки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жок часу, пов’язани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миттєвою ф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зико-х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чною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ною стану речовини, яка призводить до виникнення стрибка тиску або ударно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хвил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що супроводжується утворенням стиснутих сильно нагр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тих газ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або пари, здатних виконувати механ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05952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чну роботу</w:t>
      </w:r>
      <w:r w:rsidR="008F034F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532D02" w14:textId="03E90C6B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 вибуху можна розглядати як сукупн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вибухового впливу, в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дображених в конкретн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навколишн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обстановц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Ознаки впливу на об’єкти обстановки 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сця под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включають в себе сл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ди, характерн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бризантно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фугасно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терм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чно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також осколково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окремих елемент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вибухового пристрою. Огляд 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сця вибуху має деяк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характерн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особливост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в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зняють 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в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огляд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нших м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сць под</w:t>
      </w:r>
      <w:r w:rsid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Pr="0015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3F29D17" w14:textId="44CDB1A6" w:rsidR="00C05952" w:rsidRPr="00157207" w:rsidRDefault="00C05952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Розглядаючи орган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зац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ну сторону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вибуху, не можна не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дкреслити таки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важливи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момент, як недопущення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сце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б, безпосередньо не за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нятих у огляд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у тому числ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родич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близьких потерп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лих. Невиконання 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вимоги може призвести до ускладнення роботи оперативно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групи,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двол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кання уваги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виконання основних завдань, утрати речових доказ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мимов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знищення, а в деяких випадках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потягти додатков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жертви. Ще одн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єю особлив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стю таких огляд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є те, що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означених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ретельно охороняються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початку,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снення, а в ряд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випадк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певни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сля зак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нчення. </w:t>
      </w:r>
    </w:p>
    <w:p w14:paraId="44E93EE4" w14:textId="02C3D2E5" w:rsidR="00A86CF3" w:rsidRPr="00157207" w:rsidRDefault="00A86CF3" w:rsidP="0015720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14:paraId="431E8D97" w14:textId="77777777" w:rsidR="00A86CF3" w:rsidRPr="00157207" w:rsidRDefault="00A86CF3" w:rsidP="0015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2AAEC1" w14:textId="375E115E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Про заходи щодо подальшого зм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цнення правопорядку, охорони прав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 громадян: Указ Президента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18 лютого 2002 року № 143/2002. 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сник Укра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ни.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2002. № 8.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331. </w:t>
      </w:r>
    </w:p>
    <w:p w14:paraId="2E7ECDDF" w14:textId="7C32B939" w:rsidR="00A86CF3" w:rsidRPr="00157207" w:rsidRDefault="00A86CF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комплексного досл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дження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вибухових речовин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вибуху.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КНД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СЕ, ХНД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СЕ, ЛНД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СЕ МЮ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ни, ДНДЕКЦ МВС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ни, 2005 (код у Державному реєстр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проведення судових експертиз – 0.1.12). </w:t>
      </w:r>
    </w:p>
    <w:p w14:paraId="51ACC0D9" w14:textId="5BBB4C44" w:rsidR="00C05952" w:rsidRPr="00157207" w:rsidRDefault="00C05952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нструкц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 про поводження з вибуховими матер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алами в органах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дрозд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лах внутр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шн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 справ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затверджена наказом МВС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№ 653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09.07.2014. </w:t>
      </w:r>
    </w:p>
    <w:p w14:paraId="6B6F20B1" w14:textId="2E778553" w:rsidR="00C05952" w:rsidRPr="00157207" w:rsidRDefault="00C05952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Пащенко В.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Ткаченко Є.М., Грущенко С.А., Кобець М.В.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Огляд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сць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фактами вибух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в. Дов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дково-методични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бник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ДНДЕКЦ МВС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2014р. 69 с. </w:t>
      </w:r>
    </w:p>
    <w:p w14:paraId="21461AAB" w14:textId="18F67FEA" w:rsidR="00C05952" w:rsidRPr="00157207" w:rsidRDefault="00C05952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5. Методика комплексного досл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дження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вибухових речовин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вибуху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Прохоров-Лук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 Г.В., Пащенко В.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., Биков В.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К. : ТОВ «Ел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 Пр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нт», 201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216 с. </w:t>
      </w:r>
    </w:p>
    <w:p w14:paraId="1979C90C" w14:textId="3E52165A" w:rsidR="009E0683" w:rsidRPr="00157207" w:rsidRDefault="00C05952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6.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учасник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дчо–оперативно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 на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пов’язано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вибухом: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метод.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рек.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Я..В.Фурман, Ю.П.Приходько, М.В.Нечеснюк, Н.В.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Харечко. К.: Нац. акад. внутр. справ, УкрДГР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2018.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 с. </w:t>
      </w:r>
    </w:p>
    <w:p w14:paraId="70228A4D" w14:textId="50609A93" w:rsidR="009E0683" w:rsidRPr="00157207" w:rsidRDefault="009E068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Бирюков В. В. Криминалистическое оружиеведение : учебное пособие. Луганск : СПД Резников В. С., 2013. 256 с. </w:t>
      </w:r>
    </w:p>
    <w:p w14:paraId="7820ADF8" w14:textId="2516C7C8" w:rsidR="00840663" w:rsidRPr="00157207" w:rsidRDefault="00840663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8.Кофанов А. В., Кобилянськи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Л., Кузьм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чов Я. В.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стика: питання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дпов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Навч.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К.: Центр учбово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тератури,. 2012.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280 с. </w:t>
      </w:r>
    </w:p>
    <w:p w14:paraId="18BF08FE" w14:textId="3CA1A419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процесуальни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: Закон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13 кв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2012 р. 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4651-VI. 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Верховна Рада Укра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URL: http://zakon2.rada.gov.ua/laws/show/4651-17. </w:t>
      </w:r>
    </w:p>
    <w:p w14:paraId="73C8C286" w14:textId="68600947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10.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стика :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дручник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В. В. Пясковськи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Ю. М. Чорноус, А. В. Самод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: Право, 2020. 752 с. </w:t>
      </w:r>
    </w:p>
    <w:p w14:paraId="77DB8F1B" w14:textId="5C55D9D8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11.Мельников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М.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стична вибухотехн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ка в систем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стики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К.,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2013. С. 44. </w:t>
      </w:r>
    </w:p>
    <w:p w14:paraId="3D0DE589" w14:textId="3C361254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12.Буханченко О. А. Особливост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огляду 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сця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вибуху за участю спец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ста-вибухотехн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ка: автореф. дис. на здобуття наук. ступеня канд. юр. наук : спец. 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2012. 18 с. </w:t>
      </w:r>
    </w:p>
    <w:p w14:paraId="592B93CE" w14:textId="05719364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13.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стика :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дручник.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В. В. Пясковськи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М. Чорноус, А. В.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щенко, О. О. Алєксєєв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К. : «Центр учбово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тератури», 2015. 544 с. </w:t>
      </w:r>
    </w:p>
    <w:p w14:paraId="77D23A45" w14:textId="0219EFDF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14. Боротьба з тероризмом : навч.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В.В. Коваленка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Джужа, Д.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Никифорчук, В.М. Комарницьки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К. : Видавничи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 «Ск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ф», 2013.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584 с. </w:t>
      </w:r>
    </w:p>
    <w:p w14:paraId="5712739C" w14:textId="7D97A8DB" w:rsidR="008B6214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15.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стика в протид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незаконному використанню вибухових пристро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в, вогнепально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збро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гу наркотичних засоб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в : навч.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К., 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Юр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нком 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нтер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400 с. </w:t>
      </w:r>
    </w:p>
    <w:p w14:paraId="79E9FBF7" w14:textId="23F32A0D" w:rsidR="00C15D76" w:rsidRPr="00157207" w:rsidRDefault="008B6214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16.Розсл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дування конкретних вид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кримінальних правопорушень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навчальни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бник</w:t>
      </w:r>
      <w:r w:rsidR="0071578C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М.А.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Погорецьки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Д.Б. Сергєєва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К. : Алерта, 2015.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536 с. </w:t>
      </w:r>
    </w:p>
    <w:p w14:paraId="207419D6" w14:textId="25C236CA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71578C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Експертиза в судочинств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ни : наук.-практ.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за заг. ред. В.Г.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Гончаренка,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.В. Гори.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К. : Юр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нком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нтер, 2015.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504 с. </w:t>
      </w:r>
    </w:p>
    <w:p w14:paraId="210FD7D3" w14:textId="7F11E87C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18.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стична тактика. Навчальни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бник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за ред. доктора юрид. наук, проф. М.А. Погорецького та доктора юрид. наук, доц. Д.Б. Сергєєво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 К. : Алерта, 2017.</w:t>
      </w:r>
      <w:r w:rsidR="00157207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244 с. </w:t>
      </w:r>
    </w:p>
    <w:p w14:paraId="77D76C27" w14:textId="3B2170B4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71578C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Цюприк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.В. Особливост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тактики огляду (обшуку)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 час розсл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дування терористичного акту, вчиненого шляхом вибуху. 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Актуальн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проблеми крим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нального права, процесу, крим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нал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стики та оперативно-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розшуково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яльност</w:t>
      </w:r>
      <w:r w:rsidR="00157207"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: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тези Всеукр. наук.-практ. конф. (Хмельницьки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, 3 берез. 2017 р.). Хмельницьки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НАДПСУ, 2017. С. 990–992. </w:t>
      </w:r>
    </w:p>
    <w:p w14:paraId="1E5CFE58" w14:textId="17198E5E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71578C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стика: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дручник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Пясковськи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Чорноус Ю.М.,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щенко А. В.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: ЦУЛ, 2016. 543 с. </w:t>
      </w:r>
    </w:p>
    <w:p w14:paraId="70963847" w14:textId="6D25EB71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21.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стика : 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друч. для студ. вищ. навч. закл. /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ред.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Чаплинськи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К.О., Лускатов О.В., Пир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та 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н. Дн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про : ДДУВС; Л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ЛТД, 2017. 480 с. </w:t>
      </w:r>
    </w:p>
    <w:p w14:paraId="4DF9F27B" w14:textId="603602A2" w:rsidR="008F034F" w:rsidRPr="00157207" w:rsidRDefault="008F034F" w:rsidP="001572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Лушп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єнко В. Особливост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допиту св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дка на стад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судового розгляду в крим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нальному процес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дприємництво, господарство </w:t>
      </w:r>
      <w:r w:rsid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Pr="00157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право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2017. </w:t>
      </w:r>
      <w:r w:rsidR="001D0283"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С.</w:t>
      </w:r>
      <w:r w:rsidR="001572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263–267. </w:t>
      </w:r>
    </w:p>
    <w:sectPr w:rsidR="008F034F" w:rsidRPr="00157207" w:rsidSect="00157207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23AC" w14:textId="77777777" w:rsidR="00196E77" w:rsidRDefault="00196E77" w:rsidP="00C15D76">
      <w:r>
        <w:separator/>
      </w:r>
    </w:p>
  </w:endnote>
  <w:endnote w:type="continuationSeparator" w:id="0">
    <w:p w14:paraId="61AF7437" w14:textId="77777777" w:rsidR="00196E77" w:rsidRDefault="00196E77" w:rsidP="00C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484B" w14:textId="77777777" w:rsidR="00196E77" w:rsidRDefault="00196E77" w:rsidP="00C15D76">
      <w:r>
        <w:separator/>
      </w:r>
    </w:p>
  </w:footnote>
  <w:footnote w:type="continuationSeparator" w:id="0">
    <w:p w14:paraId="28FD8009" w14:textId="77777777" w:rsidR="00196E77" w:rsidRDefault="00196E77" w:rsidP="00C1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54922239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04F25007" w14:textId="77777777" w:rsidR="00C15D76" w:rsidRDefault="00C15D76" w:rsidP="004A76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EF4C800" w14:textId="77777777" w:rsidR="00C15D76" w:rsidRDefault="00C15D76" w:rsidP="00C15D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4999339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6EC4F7F" w14:textId="77777777" w:rsidR="00C15D76" w:rsidRDefault="00C15D76" w:rsidP="004A76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2B2AE27" w14:textId="77777777" w:rsidR="00C15D76" w:rsidRDefault="00C15D76" w:rsidP="00C15D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ABD"/>
    <w:multiLevelType w:val="hybridMultilevel"/>
    <w:tmpl w:val="CF8CCA6E"/>
    <w:lvl w:ilvl="0" w:tplc="86F4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47"/>
    <w:rsid w:val="00020C47"/>
    <w:rsid w:val="00041C54"/>
    <w:rsid w:val="00157207"/>
    <w:rsid w:val="00196E77"/>
    <w:rsid w:val="001D0283"/>
    <w:rsid w:val="002F23D4"/>
    <w:rsid w:val="00373819"/>
    <w:rsid w:val="003B6114"/>
    <w:rsid w:val="003E1C34"/>
    <w:rsid w:val="003F2459"/>
    <w:rsid w:val="004B2D8D"/>
    <w:rsid w:val="005442A8"/>
    <w:rsid w:val="00554E93"/>
    <w:rsid w:val="005A6291"/>
    <w:rsid w:val="0071578C"/>
    <w:rsid w:val="00840663"/>
    <w:rsid w:val="00891E6E"/>
    <w:rsid w:val="00894C95"/>
    <w:rsid w:val="008B6214"/>
    <w:rsid w:val="008F034F"/>
    <w:rsid w:val="009E0683"/>
    <w:rsid w:val="00A373FB"/>
    <w:rsid w:val="00A86CF3"/>
    <w:rsid w:val="00A919C2"/>
    <w:rsid w:val="00B04517"/>
    <w:rsid w:val="00C05952"/>
    <w:rsid w:val="00C15D76"/>
    <w:rsid w:val="00E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30C9"/>
  <w15:chartTrackingRefBased/>
  <w15:docId w15:val="{1E1FA91C-56B4-DD44-8203-2612ECCB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C47"/>
  </w:style>
  <w:style w:type="paragraph" w:styleId="a3">
    <w:name w:val="Normal (Web)"/>
    <w:basedOn w:val="a"/>
    <w:uiPriority w:val="99"/>
    <w:unhideWhenUsed/>
    <w:rsid w:val="005A62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No Spacing"/>
    <w:uiPriority w:val="1"/>
    <w:qFormat/>
    <w:rsid w:val="005A6291"/>
    <w:rPr>
      <w:lang w:val="uk-UA"/>
    </w:rPr>
  </w:style>
  <w:style w:type="paragraph" w:styleId="a5">
    <w:name w:val="header"/>
    <w:basedOn w:val="a"/>
    <w:link w:val="a6"/>
    <w:uiPriority w:val="99"/>
    <w:unhideWhenUsed/>
    <w:rsid w:val="00C15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D76"/>
    <w:rPr>
      <w:lang w:val="uk-UA"/>
    </w:rPr>
  </w:style>
  <w:style w:type="character" w:styleId="a7">
    <w:name w:val="page number"/>
    <w:basedOn w:val="a0"/>
    <w:uiPriority w:val="99"/>
    <w:semiHidden/>
    <w:unhideWhenUsed/>
    <w:rsid w:val="00C15D76"/>
  </w:style>
  <w:style w:type="character" w:styleId="a8">
    <w:name w:val="Strong"/>
    <w:basedOn w:val="a0"/>
    <w:uiPriority w:val="22"/>
    <w:qFormat/>
    <w:rsid w:val="00C15D76"/>
    <w:rPr>
      <w:b/>
      <w:bCs/>
    </w:rPr>
  </w:style>
  <w:style w:type="paragraph" w:styleId="a9">
    <w:name w:val="Body Text"/>
    <w:basedOn w:val="a"/>
    <w:link w:val="aa"/>
    <w:uiPriority w:val="1"/>
    <w:qFormat/>
    <w:rsid w:val="00C15D76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a">
    <w:name w:val="Основной текст Знак"/>
    <w:basedOn w:val="a0"/>
    <w:link w:val="a9"/>
    <w:uiPriority w:val="1"/>
    <w:rsid w:val="00C15D76"/>
    <w:rPr>
      <w:rFonts w:ascii="Times New Roman" w:eastAsia="Times New Roman" w:hAnsi="Times New Roman" w:cs="Times New Roman"/>
      <w:lang w:val="en-US" w:bidi="en-US"/>
    </w:rPr>
  </w:style>
  <w:style w:type="paragraph" w:styleId="ab">
    <w:name w:val="List Paragraph"/>
    <w:basedOn w:val="a"/>
    <w:uiPriority w:val="34"/>
    <w:qFormat/>
    <w:rsid w:val="00C15D76"/>
    <w:pPr>
      <w:widowControl w:val="0"/>
      <w:autoSpaceDE w:val="0"/>
      <w:autoSpaceDN w:val="0"/>
      <w:ind w:left="342" w:hanging="240"/>
      <w:jc w:val="both"/>
    </w:pPr>
    <w:rPr>
      <w:rFonts w:ascii="Times New Roman" w:eastAsia="Times New Roman" w:hAnsi="Times New Roman" w:cs="Times New Roman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6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8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7577-E182-4B53-A4E1-028BB25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7</cp:revision>
  <dcterms:created xsi:type="dcterms:W3CDTF">2021-10-19T06:38:00Z</dcterms:created>
  <dcterms:modified xsi:type="dcterms:W3CDTF">2021-10-25T19:12:00Z</dcterms:modified>
</cp:coreProperties>
</file>