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F6A1A" w14:textId="77777777" w:rsidR="00E02B19" w:rsidRPr="009D148D" w:rsidRDefault="00BC0B3D">
      <w:pPr>
        <w:rPr>
          <w:rFonts w:ascii="Times New Roman" w:eastAsia="Times New Roman" w:hAnsi="Times New Roman"/>
          <w:b/>
          <w:bCs/>
          <w:sz w:val="28"/>
          <w:szCs w:val="28"/>
          <w:lang w:val="ru-RU"/>
        </w:rPr>
      </w:pPr>
      <w:bookmarkStart w:id="0" w:name="_Toc81597523"/>
      <w:r>
        <w:rPr>
          <w:rFonts w:ascii="Times New Roman" w:hAnsi="Times New Roman" w:cs="Times New Roman"/>
          <w:b/>
          <w:bCs/>
          <w:sz w:val="28"/>
          <w:szCs w:val="28"/>
          <w:lang w:val="uk-UA"/>
        </w:rPr>
        <w:br w:type="page"/>
      </w:r>
    </w:p>
    <w:sdt>
      <w:sdtPr>
        <w:rPr>
          <w:rFonts w:ascii="Times New Roman" w:eastAsiaTheme="minorHAnsi" w:hAnsi="Times New Roman" w:cs="Times New Roman"/>
          <w:color w:val="auto"/>
          <w:sz w:val="28"/>
          <w:szCs w:val="28"/>
          <w:lang w:val="en-US"/>
        </w:rPr>
        <w:id w:val="-460886457"/>
        <w:docPartObj>
          <w:docPartGallery w:val="Table of Contents"/>
          <w:docPartUnique/>
        </w:docPartObj>
      </w:sdtPr>
      <w:sdtContent>
        <w:p w14:paraId="49063046" w14:textId="77777777" w:rsidR="00E02B19" w:rsidRDefault="00BC0B3D">
          <w:pPr>
            <w:pStyle w:val="TOCHeading"/>
            <w:spacing w:before="0" w:line="36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ЗМІСТ</w:t>
          </w:r>
        </w:p>
        <w:p w14:paraId="0D76DC8D" w14:textId="77777777" w:rsidR="00E02B19" w:rsidRDefault="00BC0B3D">
          <w:pPr>
            <w:pStyle w:val="TOC1"/>
            <w:tabs>
              <w:tab w:val="right" w:leader="dot" w:pos="967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p>
        <w:p w14:paraId="23F7CF03"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190" w:tooltip="#_Toc86527190" w:history="1">
            <w:r w:rsidR="00BC0B3D">
              <w:rPr>
                <w:rStyle w:val="Hyperlink"/>
                <w:rFonts w:ascii="Times New Roman" w:hAnsi="Times New Roman" w:cs="Times New Roman"/>
                <w:sz w:val="28"/>
                <w:szCs w:val="28"/>
                <w:lang w:val="uk-UA"/>
              </w:rPr>
              <w:t>ВСТУП</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_Toc86527190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3</w:t>
            </w:r>
            <w:r w:rsidR="00BC0B3D">
              <w:rPr>
                <w:rFonts w:ascii="Times New Roman" w:hAnsi="Times New Roman" w:cs="Times New Roman"/>
                <w:sz w:val="28"/>
                <w:szCs w:val="28"/>
              </w:rPr>
              <w:fldChar w:fldCharType="end"/>
            </w:r>
          </w:hyperlink>
        </w:p>
        <w:p w14:paraId="74CD6BFF"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191" w:tooltip="#_Toc86527191" w:history="1">
            <w:r w:rsidR="00BC0B3D">
              <w:rPr>
                <w:rStyle w:val="Hyperlink"/>
                <w:rFonts w:ascii="Times New Roman" w:hAnsi="Times New Roman" w:cs="Times New Roman"/>
                <w:sz w:val="28"/>
                <w:szCs w:val="28"/>
                <w:lang w:val="uk-UA"/>
              </w:rPr>
              <w:t>РОЗДІЛ 1. ТЕОРЕТИЧНІ ОСНОВИ ТА ЗАКОНОДАВЧО-ПРАВОВЕ РЕГУЛЮВАННЯ ОПОДАТКУВАННЯ БАНКІВ В УКРАЇНІ</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_Toc86527191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5</w:t>
            </w:r>
            <w:r w:rsidR="00BC0B3D">
              <w:rPr>
                <w:rFonts w:ascii="Times New Roman" w:hAnsi="Times New Roman" w:cs="Times New Roman"/>
                <w:sz w:val="28"/>
                <w:szCs w:val="28"/>
              </w:rPr>
              <w:fldChar w:fldCharType="end"/>
            </w:r>
          </w:hyperlink>
        </w:p>
        <w:p w14:paraId="07B5018A"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192" w:tooltip="#_Toc86527192" w:history="1">
            <w:r w:rsidR="00BC0B3D">
              <w:rPr>
                <w:rStyle w:val="Hyperlink"/>
                <w:rFonts w:ascii="Times New Roman" w:hAnsi="Times New Roman" w:cs="Times New Roman"/>
                <w:sz w:val="28"/>
                <w:szCs w:val="28"/>
                <w:lang w:val="uk-UA"/>
              </w:rPr>
              <w:t>1.1. Поняття та особливості оподаткування банків в Україні</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_Toc86527192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5</w:t>
            </w:r>
            <w:r w:rsidR="00BC0B3D">
              <w:rPr>
                <w:rFonts w:ascii="Times New Roman" w:hAnsi="Times New Roman" w:cs="Times New Roman"/>
                <w:sz w:val="28"/>
                <w:szCs w:val="28"/>
              </w:rPr>
              <w:fldChar w:fldCharType="end"/>
            </w:r>
          </w:hyperlink>
        </w:p>
        <w:p w14:paraId="4608ADD3"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193" w:tooltip="#_Toc86527193" w:history="1">
            <w:r w:rsidR="00BC0B3D">
              <w:rPr>
                <w:rStyle w:val="Hyperlink"/>
                <w:rFonts w:ascii="Times New Roman" w:hAnsi="Times New Roman" w:cs="Times New Roman"/>
                <w:sz w:val="28"/>
                <w:szCs w:val="28"/>
                <w:lang w:val="uk-UA"/>
              </w:rPr>
              <w:t>1.2. Нормативно-правове регулювання оподаткування банківської діяльності</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_Toc86527193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9</w:t>
            </w:r>
            <w:r w:rsidR="00BC0B3D">
              <w:rPr>
                <w:rFonts w:ascii="Times New Roman" w:hAnsi="Times New Roman" w:cs="Times New Roman"/>
                <w:sz w:val="28"/>
                <w:szCs w:val="28"/>
              </w:rPr>
              <w:fldChar w:fldCharType="end"/>
            </w:r>
          </w:hyperlink>
        </w:p>
        <w:p w14:paraId="56015550"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194" w:tooltip="#_Toc86527194" w:history="1">
            <w:r w:rsidR="00BC0B3D">
              <w:rPr>
                <w:rStyle w:val="Hyperlink"/>
                <w:rFonts w:ascii="Times New Roman" w:hAnsi="Times New Roman" w:cs="Times New Roman"/>
                <w:sz w:val="28"/>
                <w:szCs w:val="28"/>
                <w:lang w:val="uk-UA"/>
              </w:rPr>
              <w:t>РОЗДІЛ 2. ЕМПІРИЧНИЙ АНАЛІЗ ОПОДАТКУВАННЯ ПАТ «ОЩАДБАНК»</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_Toc86527194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12</w:t>
            </w:r>
            <w:r w:rsidR="00BC0B3D">
              <w:rPr>
                <w:rFonts w:ascii="Times New Roman" w:hAnsi="Times New Roman" w:cs="Times New Roman"/>
                <w:sz w:val="28"/>
                <w:szCs w:val="28"/>
              </w:rPr>
              <w:fldChar w:fldCharType="end"/>
            </w:r>
          </w:hyperlink>
        </w:p>
        <w:p w14:paraId="0C32B9DA"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195" w:tooltip="#_Toc86527195" w:history="1">
            <w:r w:rsidR="00BC0B3D">
              <w:rPr>
                <w:rStyle w:val="Hyperlink"/>
                <w:rFonts w:ascii="Times New Roman" w:hAnsi="Times New Roman" w:cs="Times New Roman"/>
                <w:sz w:val="28"/>
                <w:szCs w:val="28"/>
                <w:lang w:val="uk-UA"/>
              </w:rPr>
              <w:t>2.1. Організаційно-правова форма та фінансові результати діяльності ПАТ «Ощадбанк» за період 2018-2020 рр.</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_Toc86527195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12</w:t>
            </w:r>
            <w:r w:rsidR="00BC0B3D">
              <w:rPr>
                <w:rFonts w:ascii="Times New Roman" w:hAnsi="Times New Roman" w:cs="Times New Roman"/>
                <w:sz w:val="28"/>
                <w:szCs w:val="28"/>
              </w:rPr>
              <w:fldChar w:fldCharType="end"/>
            </w:r>
          </w:hyperlink>
        </w:p>
        <w:p w14:paraId="1110A73B"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196" w:tooltip="#_Toc86527196" w:history="1">
            <w:r w:rsidR="00BC0B3D">
              <w:rPr>
                <w:rStyle w:val="Hyperlink"/>
                <w:rFonts w:ascii="Times New Roman" w:hAnsi="Times New Roman" w:cs="Times New Roman"/>
                <w:sz w:val="28"/>
                <w:szCs w:val="28"/>
                <w:lang w:val="uk-UA"/>
              </w:rPr>
              <w:t>2.2. Організація роботи зі сплати податків ПАТ «Ощадбанк»</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_Toc86527196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17</w:t>
            </w:r>
            <w:r w:rsidR="00BC0B3D">
              <w:rPr>
                <w:rFonts w:ascii="Times New Roman" w:hAnsi="Times New Roman" w:cs="Times New Roman"/>
                <w:sz w:val="28"/>
                <w:szCs w:val="28"/>
              </w:rPr>
              <w:fldChar w:fldCharType="end"/>
            </w:r>
          </w:hyperlink>
        </w:p>
        <w:p w14:paraId="46EC3D67"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197" w:tooltip="#_Toc86527197" w:history="1">
            <w:r w:rsidR="00BC0B3D">
              <w:rPr>
                <w:rStyle w:val="Hyperlink"/>
                <w:rFonts w:ascii="Times New Roman" w:hAnsi="Times New Roman" w:cs="Times New Roman"/>
                <w:sz w:val="28"/>
                <w:szCs w:val="28"/>
                <w:lang w:val="uk-UA"/>
              </w:rPr>
              <w:t>РОЗДІЛ 3. НАПРЯМКИ ВДОСКОНАЛЕННЯ ПОДАТКОВОГО МЕНЕДЖМЕНТУ ПАТ «ОЩАДБАНК» ТА ОПОДАТКУВАННЯ БАНКІВ УКРАЇНИ</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_Toc86527197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31</w:t>
            </w:r>
            <w:r w:rsidR="00BC0B3D">
              <w:rPr>
                <w:rFonts w:ascii="Times New Roman" w:hAnsi="Times New Roman" w:cs="Times New Roman"/>
                <w:sz w:val="28"/>
                <w:szCs w:val="28"/>
              </w:rPr>
              <w:fldChar w:fldCharType="end"/>
            </w:r>
          </w:hyperlink>
        </w:p>
        <w:p w14:paraId="6FFC7062"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198" w:tooltip="#_Toc86527198" w:history="1">
            <w:r w:rsidR="00BC0B3D">
              <w:rPr>
                <w:rStyle w:val="Hyperlink"/>
                <w:rFonts w:ascii="Times New Roman" w:hAnsi="Times New Roman" w:cs="Times New Roman"/>
                <w:sz w:val="28"/>
                <w:szCs w:val="28"/>
                <w:lang w:val="uk-UA"/>
              </w:rPr>
              <w:t>3.1. Удосконалення податкового менеджменту ПАТ «Ощадбанк»</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_Toc86527198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31</w:t>
            </w:r>
            <w:r w:rsidR="00BC0B3D">
              <w:rPr>
                <w:rFonts w:ascii="Times New Roman" w:hAnsi="Times New Roman" w:cs="Times New Roman"/>
                <w:sz w:val="28"/>
                <w:szCs w:val="28"/>
              </w:rPr>
              <w:fldChar w:fldCharType="end"/>
            </w:r>
          </w:hyperlink>
        </w:p>
        <w:p w14:paraId="427042E2"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199" w:tooltip="#_Toc86527199" w:history="1">
            <w:r w:rsidR="00BC0B3D">
              <w:rPr>
                <w:rStyle w:val="Hyperlink"/>
                <w:rFonts w:ascii="Times New Roman" w:hAnsi="Times New Roman" w:cs="Times New Roman"/>
                <w:sz w:val="28"/>
                <w:szCs w:val="28"/>
                <w:lang w:val="uk-UA"/>
              </w:rPr>
              <w:t>3.2. Удосконалення оподаткування банків в Україні</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_Toc86527199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32</w:t>
            </w:r>
            <w:r w:rsidR="00BC0B3D">
              <w:rPr>
                <w:rFonts w:ascii="Times New Roman" w:hAnsi="Times New Roman" w:cs="Times New Roman"/>
                <w:sz w:val="28"/>
                <w:szCs w:val="28"/>
              </w:rPr>
              <w:fldChar w:fldCharType="end"/>
            </w:r>
          </w:hyperlink>
        </w:p>
        <w:p w14:paraId="67C2A580"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200" w:tooltip="#_Toc86527200" w:history="1">
            <w:r w:rsidR="00BC0B3D">
              <w:rPr>
                <w:rStyle w:val="Hyperlink"/>
                <w:rFonts w:ascii="Times New Roman" w:hAnsi="Times New Roman" w:cs="Times New Roman"/>
                <w:sz w:val="28"/>
                <w:szCs w:val="28"/>
                <w:lang w:val="uk-UA"/>
              </w:rPr>
              <w:t>ВИСНОВКИ</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_Toc86527200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37</w:t>
            </w:r>
            <w:r w:rsidR="00BC0B3D">
              <w:rPr>
                <w:rFonts w:ascii="Times New Roman" w:hAnsi="Times New Roman" w:cs="Times New Roman"/>
                <w:sz w:val="28"/>
                <w:szCs w:val="28"/>
              </w:rPr>
              <w:fldChar w:fldCharType="end"/>
            </w:r>
          </w:hyperlink>
        </w:p>
        <w:p w14:paraId="315411B1"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201" w:tooltip="#_Toc86527201" w:history="1">
            <w:r w:rsidR="00BC0B3D">
              <w:rPr>
                <w:rStyle w:val="Hyperlink"/>
                <w:rFonts w:ascii="Times New Roman" w:hAnsi="Times New Roman" w:cs="Times New Roman"/>
                <w:sz w:val="28"/>
                <w:szCs w:val="28"/>
                <w:lang w:val="uk-UA"/>
              </w:rPr>
              <w:t>СПИСОК ВИКОРИСТАНИХ ДЖЕРЕЛ</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_Toc86527201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39</w:t>
            </w:r>
            <w:r w:rsidR="00BC0B3D">
              <w:rPr>
                <w:rFonts w:ascii="Times New Roman" w:hAnsi="Times New Roman" w:cs="Times New Roman"/>
                <w:sz w:val="28"/>
                <w:szCs w:val="28"/>
              </w:rPr>
              <w:fldChar w:fldCharType="end"/>
            </w:r>
          </w:hyperlink>
        </w:p>
        <w:p w14:paraId="01378640" w14:textId="77777777" w:rsidR="00E02B19" w:rsidRDefault="00000000">
          <w:pPr>
            <w:pStyle w:val="TOC1"/>
            <w:tabs>
              <w:tab w:val="right" w:leader="dot" w:pos="9679"/>
            </w:tabs>
            <w:spacing w:after="0" w:line="360" w:lineRule="auto"/>
            <w:jc w:val="both"/>
            <w:rPr>
              <w:rFonts w:ascii="Times New Roman" w:hAnsi="Times New Roman" w:cs="Times New Roman"/>
              <w:sz w:val="28"/>
              <w:szCs w:val="28"/>
            </w:rPr>
          </w:pPr>
          <w:hyperlink w:anchor="_Toc86527202" w:tooltip="#_Toc86527202" w:history="1">
            <w:r w:rsidR="00BC0B3D">
              <w:rPr>
                <w:rStyle w:val="Hyperlink"/>
                <w:rFonts w:ascii="Times New Roman" w:hAnsi="Times New Roman" w:cs="Times New Roman"/>
                <w:sz w:val="28"/>
                <w:szCs w:val="28"/>
                <w:lang w:val="uk-UA"/>
              </w:rPr>
              <w:t>ДОДАТКИ</w:t>
            </w:r>
            <w:r w:rsidR="00BC0B3D">
              <w:rPr>
                <w:rFonts w:ascii="Times New Roman" w:hAnsi="Times New Roman" w:cs="Times New Roman"/>
                <w:sz w:val="28"/>
                <w:szCs w:val="28"/>
              </w:rPr>
              <w:tab/>
            </w:r>
            <w:r w:rsidR="00BC0B3D">
              <w:rPr>
                <w:rFonts w:ascii="Times New Roman" w:hAnsi="Times New Roman" w:cs="Times New Roman"/>
                <w:sz w:val="28"/>
                <w:szCs w:val="28"/>
              </w:rPr>
              <w:fldChar w:fldCharType="begin"/>
            </w:r>
            <w:r w:rsidR="00BC0B3D">
              <w:rPr>
                <w:rFonts w:ascii="Times New Roman" w:hAnsi="Times New Roman" w:cs="Times New Roman"/>
                <w:sz w:val="28"/>
                <w:szCs w:val="28"/>
              </w:rPr>
              <w:instrText xml:space="preserve"> PAGEREF _Toc86527202 \h </w:instrText>
            </w:r>
            <w:r w:rsidR="00BC0B3D">
              <w:rPr>
                <w:rFonts w:ascii="Times New Roman" w:hAnsi="Times New Roman" w:cs="Times New Roman"/>
                <w:sz w:val="28"/>
                <w:szCs w:val="28"/>
              </w:rPr>
            </w:r>
            <w:r w:rsidR="00BC0B3D">
              <w:rPr>
                <w:rFonts w:ascii="Times New Roman" w:hAnsi="Times New Roman" w:cs="Times New Roman"/>
                <w:sz w:val="28"/>
                <w:szCs w:val="28"/>
              </w:rPr>
              <w:fldChar w:fldCharType="separate"/>
            </w:r>
            <w:r w:rsidR="00BC0B3D">
              <w:rPr>
                <w:rFonts w:ascii="Times New Roman" w:hAnsi="Times New Roman" w:cs="Times New Roman"/>
                <w:sz w:val="28"/>
                <w:szCs w:val="28"/>
              </w:rPr>
              <w:t>42</w:t>
            </w:r>
            <w:r w:rsidR="00BC0B3D">
              <w:rPr>
                <w:rFonts w:ascii="Times New Roman" w:hAnsi="Times New Roman" w:cs="Times New Roman"/>
                <w:sz w:val="28"/>
                <w:szCs w:val="28"/>
              </w:rPr>
              <w:fldChar w:fldCharType="end"/>
            </w:r>
          </w:hyperlink>
        </w:p>
        <w:p w14:paraId="4A25FBA6" w14:textId="77777777" w:rsidR="00E02B19" w:rsidRDefault="00BC0B3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fldChar w:fldCharType="end"/>
          </w:r>
        </w:p>
      </w:sdtContent>
    </w:sdt>
    <w:p w14:paraId="2E33E433" w14:textId="77777777" w:rsidR="00E02B19" w:rsidRDefault="00BC0B3D">
      <w:pPr>
        <w:rPr>
          <w:rFonts w:ascii="Times New Roman" w:eastAsiaTheme="majorEastAsia" w:hAnsi="Times New Roman" w:cs="Times New Roman"/>
          <w:b/>
          <w:bCs/>
          <w:sz w:val="28"/>
          <w:szCs w:val="28"/>
          <w:lang w:val="uk-UA"/>
        </w:rPr>
      </w:pPr>
      <w:r>
        <w:rPr>
          <w:rFonts w:ascii="Times New Roman" w:hAnsi="Times New Roman" w:cs="Times New Roman"/>
          <w:b/>
          <w:bCs/>
          <w:sz w:val="28"/>
          <w:szCs w:val="28"/>
          <w:lang w:val="uk-UA"/>
        </w:rPr>
        <w:br w:type="page"/>
      </w:r>
    </w:p>
    <w:p w14:paraId="17C6561E" w14:textId="77777777" w:rsidR="00E02B19" w:rsidRDefault="00BC0B3D">
      <w:pPr>
        <w:pStyle w:val="Heading1"/>
        <w:spacing w:before="0" w:line="360" w:lineRule="auto"/>
        <w:jc w:val="center"/>
        <w:rPr>
          <w:rFonts w:ascii="Times New Roman" w:hAnsi="Times New Roman" w:cs="Times New Roman"/>
          <w:b/>
          <w:bCs/>
          <w:color w:val="auto"/>
          <w:sz w:val="28"/>
          <w:szCs w:val="28"/>
          <w:lang w:val="uk-UA"/>
        </w:rPr>
      </w:pPr>
      <w:bookmarkStart w:id="1" w:name="_Toc86527190"/>
      <w:r>
        <w:rPr>
          <w:rFonts w:ascii="Times New Roman" w:hAnsi="Times New Roman" w:cs="Times New Roman"/>
          <w:b/>
          <w:bCs/>
          <w:color w:val="auto"/>
          <w:sz w:val="28"/>
          <w:szCs w:val="28"/>
          <w:lang w:val="uk-UA"/>
        </w:rPr>
        <w:lastRenderedPageBreak/>
        <w:t>ВСТУП</w:t>
      </w:r>
      <w:bookmarkEnd w:id="0"/>
      <w:bookmarkEnd w:id="1"/>
    </w:p>
    <w:p w14:paraId="2EE26B5B" w14:textId="77777777" w:rsidR="00E02B19" w:rsidRDefault="00E02B19">
      <w:pPr>
        <w:spacing w:after="0" w:line="360" w:lineRule="auto"/>
        <w:ind w:firstLine="709"/>
        <w:jc w:val="both"/>
        <w:rPr>
          <w:rFonts w:ascii="Times New Roman" w:hAnsi="Times New Roman" w:cs="Times New Roman"/>
          <w:sz w:val="28"/>
          <w:szCs w:val="28"/>
          <w:lang w:val="uk-UA"/>
        </w:rPr>
      </w:pPr>
    </w:p>
    <w:p w14:paraId="3F3D4D36" w14:textId="2B3F7C59" w:rsidR="00E02B19" w:rsidRDefault="009D148D" w:rsidP="009D14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Банківська система відіграє важливу роль у реалізації економічної політики країни, оскільки є сполучною ланкою в економіці</w:t>
      </w:r>
      <w:r w:rsidRPr="009D148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зв’язку з цим актуальним і необхідним є </w:t>
      </w:r>
      <w:r w:rsidR="00BC0B3D">
        <w:rPr>
          <w:rFonts w:ascii="Times New Roman" w:hAnsi="Times New Roman" w:cs="Times New Roman"/>
          <w:sz w:val="28"/>
          <w:szCs w:val="28"/>
          <w:lang w:val="uk-UA"/>
        </w:rPr>
        <w:t>вивчення питання оподаткування банківських установ та їх прибутку, визначення особливостей податкового регулювання банківських установ стає актуальним та необхідним</w:t>
      </w:r>
      <w:r>
        <w:rPr>
          <w:rFonts w:ascii="Times New Roman" w:hAnsi="Times New Roman" w:cs="Times New Roman"/>
          <w:sz w:val="28"/>
          <w:szCs w:val="28"/>
          <w:lang w:val="uk-UA"/>
        </w:rPr>
        <w:t>.</w:t>
      </w:r>
      <w:r w:rsidRPr="009D148D">
        <w:rPr>
          <w:rFonts w:ascii="Times New Roman" w:hAnsi="Times New Roman" w:cs="Times New Roman"/>
          <w:sz w:val="28"/>
          <w:szCs w:val="28"/>
          <w:lang w:val="uk-UA"/>
        </w:rPr>
        <w:t xml:space="preserve"> </w:t>
      </w:r>
      <w:r>
        <w:rPr>
          <w:rFonts w:ascii="Times New Roman" w:hAnsi="Times New Roman" w:cs="Times New Roman"/>
          <w:sz w:val="28"/>
          <w:szCs w:val="28"/>
          <w:lang w:val="uk-UA"/>
        </w:rPr>
        <w:t>Оскільки з часом деякі аспекти цього питання застарівають і потребують перегляду та вдосконалення деяких нормативних елементів. Слід мати на увазі, що ці питання потребують вивчення не лише з точки зору забезпечення стабільності та стійкості банківських установ, а й з точки зору впливу банків на економічний розвиток країни.</w:t>
      </w:r>
    </w:p>
    <w:p w14:paraId="70BBA6D1" w14:textId="77777777" w:rsidR="00D4651C" w:rsidRDefault="00D4651C" w:rsidP="009D14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14:paraId="4296C623" w14:textId="19E491D7" w:rsidR="009D148D" w:rsidRDefault="009D148D" w:rsidP="009D14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 метою курсової роботи є аналіз особливостей банківського оподаткування на прикладі ПАТ «Ощадбанк».</w:t>
      </w:r>
    </w:p>
    <w:p w14:paraId="5E00FB26" w14:textId="77777777" w:rsidR="00E02B19" w:rsidRDefault="00BC0B3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Головними завданнями практики є: </w:t>
      </w:r>
    </w:p>
    <w:p w14:paraId="6124A46C" w14:textId="77777777" w:rsidR="00D4651C" w:rsidRDefault="00D4651C">
      <w:pPr>
        <w:pStyle w:val="ListParagraph"/>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14:paraId="21A417E4" w14:textId="517A6FEC" w:rsidR="00E02B19" w:rsidRDefault="00BC0B3D">
      <w:pPr>
        <w:pStyle w:val="ListParagraph"/>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Об’єктом роботи є особливості оподаткування ПАТ «Ощадбанк». Предметом роботи є оподаткування банків в Україні.</w:t>
      </w:r>
    </w:p>
    <w:p w14:paraId="2F354931" w14:textId="77777777" w:rsidR="00E02B19" w:rsidRDefault="00BC0B3D">
      <w:pPr>
        <w:pStyle w:val="ListParagraph"/>
        <w:numPr>
          <w:ilvl w:val="0"/>
          <w:numId w:val="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A459B98" w14:textId="77777777" w:rsidR="00E02B19" w:rsidRDefault="00BC0B3D">
      <w:pPr>
        <w:pStyle w:val="Heading1"/>
        <w:spacing w:before="0" w:line="360" w:lineRule="auto"/>
        <w:jc w:val="center"/>
        <w:rPr>
          <w:rFonts w:ascii="Times New Roman" w:hAnsi="Times New Roman" w:cs="Times New Roman"/>
          <w:b/>
          <w:bCs/>
          <w:color w:val="auto"/>
          <w:sz w:val="28"/>
          <w:szCs w:val="28"/>
          <w:lang w:val="uk-UA"/>
        </w:rPr>
      </w:pPr>
      <w:bookmarkStart w:id="2" w:name="_Toc86527191"/>
      <w:r>
        <w:rPr>
          <w:rFonts w:ascii="Times New Roman" w:hAnsi="Times New Roman" w:cs="Times New Roman"/>
          <w:b/>
          <w:bCs/>
          <w:color w:val="auto"/>
          <w:sz w:val="28"/>
          <w:szCs w:val="28"/>
          <w:lang w:val="uk-UA"/>
        </w:rPr>
        <w:lastRenderedPageBreak/>
        <w:t>РОЗДІЛ 1. ТЕОРЕТИЧНІ ОСНОВИ ТА ЗАКОНОДАВЧО-ПРАВОВЕ РЕГУЛЮВАННЯ ОПОДАТКУВАННЯ БАНКІВ В УКРАЇНІ</w:t>
      </w:r>
      <w:bookmarkEnd w:id="2"/>
    </w:p>
    <w:p w14:paraId="4B6ED1F0" w14:textId="77777777" w:rsidR="00E02B19" w:rsidRDefault="00E02B19">
      <w:pPr>
        <w:spacing w:after="0" w:line="360" w:lineRule="auto"/>
        <w:ind w:firstLine="709"/>
        <w:jc w:val="both"/>
        <w:rPr>
          <w:rFonts w:ascii="Times New Roman" w:hAnsi="Times New Roman" w:cs="Times New Roman"/>
          <w:sz w:val="28"/>
          <w:szCs w:val="28"/>
          <w:lang w:val="uk-UA"/>
        </w:rPr>
      </w:pPr>
    </w:p>
    <w:p w14:paraId="7578B51B" w14:textId="77777777" w:rsidR="00E02B19" w:rsidRDefault="00BC0B3D">
      <w:pPr>
        <w:pStyle w:val="Heading1"/>
        <w:spacing w:before="0" w:line="360" w:lineRule="auto"/>
        <w:ind w:firstLine="709"/>
        <w:jc w:val="both"/>
        <w:rPr>
          <w:rFonts w:ascii="Times New Roman" w:hAnsi="Times New Roman" w:cs="Times New Roman"/>
          <w:b/>
          <w:bCs/>
          <w:color w:val="auto"/>
          <w:sz w:val="28"/>
          <w:szCs w:val="28"/>
          <w:lang w:val="uk-UA"/>
        </w:rPr>
      </w:pPr>
      <w:bookmarkStart w:id="3" w:name="_Toc86527192"/>
      <w:r>
        <w:rPr>
          <w:rFonts w:ascii="Times New Roman" w:hAnsi="Times New Roman" w:cs="Times New Roman"/>
          <w:b/>
          <w:bCs/>
          <w:color w:val="auto"/>
          <w:sz w:val="28"/>
          <w:szCs w:val="28"/>
          <w:lang w:val="uk-UA"/>
        </w:rPr>
        <w:t>1.1. Поняття та особливості оподаткування банків в Україні</w:t>
      </w:r>
      <w:bookmarkEnd w:id="3"/>
    </w:p>
    <w:p w14:paraId="32C8D39B" w14:textId="77777777" w:rsidR="00E02B19" w:rsidRDefault="00E02B19">
      <w:pPr>
        <w:spacing w:after="0" w:line="360" w:lineRule="auto"/>
        <w:ind w:firstLine="709"/>
        <w:jc w:val="both"/>
        <w:rPr>
          <w:rFonts w:ascii="Times New Roman" w:hAnsi="Times New Roman" w:cs="Times New Roman"/>
          <w:sz w:val="28"/>
          <w:szCs w:val="28"/>
          <w:lang w:val="uk-UA"/>
        </w:rPr>
      </w:pPr>
    </w:p>
    <w:p w14:paraId="2E2E96D9" w14:textId="77777777" w:rsidR="00BC0B3D" w:rsidRDefault="00BC0B3D" w:rsidP="00BC0B3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Метою банківської діяльності, як і будь-яких інших комерційних підприємств, є отримання прибутку, тому такі дії підлягають оподаткуванню на загальних підставах відповідно до чинного законодавства. Однак істотна відмінність є в тому, що діяльність банківських установ завжди пов’язана зі значними ризиками, тому банківські операції оподатковуються як спеціальні операції.</w:t>
      </w:r>
    </w:p>
    <w:p w14:paraId="189F4324" w14:textId="77777777" w:rsidR="00D4651C" w:rsidRDefault="00D4651C" w:rsidP="008B5A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14:paraId="1345D17F" w14:textId="48985FC7" w:rsidR="008B5A82" w:rsidRDefault="008B5A82" w:rsidP="008B5A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важливим джерелом надходжень до бюджетів України та країн з розвиненою ринковою економікою є надходження від оподаткування банків, оскільки державна податкова політика має враховувати її специфіку в умовах поглиблення фінансової глобалізації та розвитку фінансового сектору. операція.</w:t>
      </w:r>
    </w:p>
    <w:p w14:paraId="383A5D8E" w14:textId="77777777" w:rsidR="00E02B19" w:rsidRDefault="00E02B19" w:rsidP="008B5A82">
      <w:pPr>
        <w:spacing w:after="0" w:line="360" w:lineRule="auto"/>
        <w:jc w:val="both"/>
        <w:rPr>
          <w:rFonts w:ascii="Times New Roman" w:hAnsi="Times New Roman" w:cs="Times New Roman"/>
          <w:sz w:val="28"/>
          <w:szCs w:val="28"/>
          <w:lang w:val="uk-UA"/>
        </w:rPr>
      </w:pPr>
    </w:p>
    <w:p w14:paraId="3223F13F" w14:textId="77777777" w:rsidR="00E02B19" w:rsidRDefault="00E02B19">
      <w:pPr>
        <w:spacing w:after="0" w:line="360" w:lineRule="auto"/>
        <w:ind w:firstLine="709"/>
        <w:jc w:val="both"/>
        <w:rPr>
          <w:rFonts w:ascii="Times New Roman" w:hAnsi="Times New Roman" w:cs="Times New Roman"/>
          <w:sz w:val="28"/>
          <w:szCs w:val="28"/>
          <w:lang w:val="uk-UA"/>
        </w:rPr>
      </w:pPr>
    </w:p>
    <w:p w14:paraId="27EABD81" w14:textId="77777777" w:rsidR="00E02B19" w:rsidRDefault="00BC0B3D">
      <w:pPr>
        <w:pStyle w:val="Heading1"/>
        <w:spacing w:before="0" w:line="360" w:lineRule="auto"/>
        <w:ind w:firstLine="709"/>
        <w:jc w:val="both"/>
        <w:rPr>
          <w:rFonts w:ascii="Times New Roman" w:hAnsi="Times New Roman" w:cs="Times New Roman"/>
          <w:b/>
          <w:bCs/>
          <w:color w:val="auto"/>
          <w:sz w:val="28"/>
          <w:szCs w:val="28"/>
          <w:lang w:val="uk-UA"/>
        </w:rPr>
      </w:pPr>
      <w:bookmarkStart w:id="4" w:name="_Toc86527193"/>
      <w:r>
        <w:rPr>
          <w:rFonts w:ascii="Times New Roman" w:hAnsi="Times New Roman" w:cs="Times New Roman"/>
          <w:b/>
          <w:bCs/>
          <w:color w:val="auto"/>
          <w:sz w:val="28"/>
          <w:szCs w:val="28"/>
          <w:lang w:val="uk-UA"/>
        </w:rPr>
        <w:t>1.2. Нормативно-правове регулювання оподаткування банківської діяльності</w:t>
      </w:r>
      <w:bookmarkEnd w:id="4"/>
    </w:p>
    <w:p w14:paraId="7374B981" w14:textId="77777777" w:rsidR="00E02B19" w:rsidRDefault="00E02B19">
      <w:pPr>
        <w:spacing w:after="0" w:line="360" w:lineRule="auto"/>
        <w:ind w:firstLine="709"/>
        <w:jc w:val="both"/>
        <w:rPr>
          <w:rFonts w:ascii="Times New Roman" w:hAnsi="Times New Roman" w:cs="Times New Roman"/>
          <w:sz w:val="28"/>
          <w:szCs w:val="28"/>
          <w:lang w:val="uk-UA"/>
        </w:rPr>
      </w:pPr>
    </w:p>
    <w:p w14:paraId="13E33DEA" w14:textId="77777777" w:rsidR="008B5A82" w:rsidRDefault="008B5A82" w:rsidP="008B5A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відміну від України, багато європейських країн мають окремі банківські кодекси, які включають банківське оподаткування. У правовій системі України банківське право виокремлено як окрема одиниця, але окремого розподілу та регулювання оподаткування в банківській системі немає. Отже, розглянемо загальні аспекти банківського оподаткування.</w:t>
      </w:r>
    </w:p>
    <w:p w14:paraId="4AE3E3AA" w14:textId="77777777" w:rsidR="00D4651C" w:rsidRDefault="00D4651C" w:rsidP="00B80C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14:paraId="5B6AD0E3" w14:textId="5CF8ABCE" w:rsidR="00B80C17" w:rsidRPr="00B80C17" w:rsidRDefault="00B80C17" w:rsidP="00B80C17">
      <w:pPr>
        <w:spacing w:after="0" w:line="360" w:lineRule="auto"/>
        <w:ind w:firstLine="709"/>
        <w:jc w:val="both"/>
        <w:rPr>
          <w:rFonts w:ascii="Times New Roman" w:hAnsi="Times New Roman" w:cs="Times New Roman"/>
          <w:sz w:val="28"/>
          <w:szCs w:val="28"/>
          <w:lang w:val="uk-UA"/>
        </w:rPr>
      </w:pPr>
      <w:r w:rsidRPr="00B80C17">
        <w:rPr>
          <w:rFonts w:ascii="Times New Roman" w:hAnsi="Times New Roman" w:cs="Times New Roman"/>
          <w:sz w:val="28"/>
          <w:szCs w:val="28"/>
          <w:lang w:val="uk-UA"/>
        </w:rPr>
        <w:lastRenderedPageBreak/>
        <w:t>Таким чином, банки відіграють важливу роль у функціонуванні та розвитку сучасної економічної системи, зокрема, у забезпеченні стабільності та ефективності її монетарної складової. Від них залежить рівень надходжень державного бюджету. Тому вдосконалення податкової системи сприятиме підвищенню ефективності діяльності фінансових установ, зокрема банків. Щодо ролі банківських установ у податкових правовідносинах, то слід зазначити, що, з одного боку, банк виступає як платник податків, а з іншого – як податковий агент.</w:t>
      </w:r>
    </w:p>
    <w:p w14:paraId="2DA47DA1" w14:textId="1008CB37" w:rsidR="00E02B19" w:rsidRDefault="00B80C17" w:rsidP="00B80C17">
      <w:pPr>
        <w:ind w:firstLine="709"/>
        <w:rPr>
          <w:rFonts w:ascii="Times New Roman" w:hAnsi="Times New Roman" w:cs="Times New Roman"/>
          <w:sz w:val="28"/>
          <w:szCs w:val="28"/>
          <w:lang w:val="uk-UA"/>
        </w:rPr>
      </w:pPr>
      <w:r w:rsidRPr="00B80C17">
        <w:rPr>
          <w:rFonts w:ascii="Times New Roman" w:hAnsi="Times New Roman" w:cs="Times New Roman"/>
          <w:sz w:val="28"/>
          <w:szCs w:val="28"/>
          <w:lang w:val="uk-UA"/>
        </w:rPr>
        <w:t> </w:t>
      </w:r>
    </w:p>
    <w:p w14:paraId="3C68BA6C" w14:textId="18C498FA" w:rsidR="00D4651C" w:rsidRDefault="00D4651C" w:rsidP="00B80C17">
      <w:pPr>
        <w:ind w:firstLine="709"/>
        <w:rPr>
          <w:rFonts w:ascii="Times New Roman" w:hAnsi="Times New Roman" w:cs="Times New Roman"/>
          <w:sz w:val="28"/>
          <w:szCs w:val="28"/>
          <w:lang w:val="uk-UA"/>
        </w:rPr>
      </w:pPr>
    </w:p>
    <w:p w14:paraId="492D7D32" w14:textId="77777777" w:rsidR="00D4651C" w:rsidRDefault="00D4651C" w:rsidP="00B80C17">
      <w:pPr>
        <w:ind w:firstLine="709"/>
        <w:rPr>
          <w:rFonts w:ascii="Times New Roman" w:hAnsi="Times New Roman" w:cs="Times New Roman"/>
          <w:sz w:val="28"/>
          <w:szCs w:val="28"/>
          <w:lang w:val="uk-UA"/>
        </w:rPr>
      </w:pPr>
    </w:p>
    <w:p w14:paraId="1A744B47" w14:textId="77777777" w:rsidR="00E02B19" w:rsidRDefault="00BC0B3D">
      <w:pPr>
        <w:pStyle w:val="Heading1"/>
        <w:spacing w:before="0" w:line="360" w:lineRule="auto"/>
        <w:jc w:val="center"/>
        <w:rPr>
          <w:rFonts w:ascii="Times New Roman" w:hAnsi="Times New Roman" w:cs="Times New Roman"/>
          <w:b/>
          <w:bCs/>
          <w:color w:val="auto"/>
          <w:sz w:val="28"/>
          <w:szCs w:val="28"/>
          <w:lang w:val="uk-UA"/>
        </w:rPr>
      </w:pPr>
      <w:bookmarkStart w:id="5" w:name="_Toc86527194"/>
      <w:r>
        <w:rPr>
          <w:rFonts w:ascii="Times New Roman" w:hAnsi="Times New Roman" w:cs="Times New Roman"/>
          <w:b/>
          <w:bCs/>
          <w:color w:val="auto"/>
          <w:sz w:val="28"/>
          <w:szCs w:val="28"/>
          <w:lang w:val="uk-UA"/>
        </w:rPr>
        <w:t>РОЗДІЛ 2. ЕМПІРИЧНИЙ АНАЛІЗ ОПОДАТКУВАННЯ ПАТ «ОЩАДБАНК»</w:t>
      </w:r>
      <w:bookmarkEnd w:id="5"/>
    </w:p>
    <w:p w14:paraId="7A78A8B3" w14:textId="77777777" w:rsidR="00E02B19" w:rsidRDefault="00E02B19">
      <w:pPr>
        <w:spacing w:after="0" w:line="360" w:lineRule="auto"/>
        <w:jc w:val="center"/>
        <w:rPr>
          <w:rFonts w:ascii="Times New Roman" w:hAnsi="Times New Roman" w:cs="Times New Roman"/>
          <w:sz w:val="28"/>
          <w:szCs w:val="28"/>
          <w:lang w:val="uk-UA"/>
        </w:rPr>
      </w:pPr>
    </w:p>
    <w:p w14:paraId="01ECC6EE" w14:textId="77777777" w:rsidR="00E02B19" w:rsidRDefault="00BC0B3D">
      <w:pPr>
        <w:pStyle w:val="Heading1"/>
        <w:spacing w:before="0" w:line="360" w:lineRule="auto"/>
        <w:ind w:firstLine="709"/>
        <w:jc w:val="both"/>
        <w:rPr>
          <w:rFonts w:ascii="Times New Roman" w:hAnsi="Times New Roman" w:cs="Times New Roman"/>
          <w:b/>
          <w:bCs/>
          <w:color w:val="auto"/>
          <w:sz w:val="28"/>
          <w:szCs w:val="28"/>
          <w:lang w:val="uk-UA"/>
        </w:rPr>
      </w:pPr>
      <w:bookmarkStart w:id="6" w:name="_Toc86527195"/>
      <w:r>
        <w:rPr>
          <w:rFonts w:ascii="Times New Roman" w:hAnsi="Times New Roman" w:cs="Times New Roman"/>
          <w:b/>
          <w:bCs/>
          <w:color w:val="auto"/>
          <w:sz w:val="28"/>
          <w:szCs w:val="28"/>
          <w:lang w:val="uk-UA"/>
        </w:rPr>
        <w:t>2.1. Організаційно-правова форма та фінансові результати діяльності ПАТ «Ощадбанк» за період 2018-2020 рр.</w:t>
      </w:r>
      <w:bookmarkEnd w:id="6"/>
    </w:p>
    <w:p w14:paraId="73983B26" w14:textId="77777777" w:rsidR="00E02B19" w:rsidRDefault="00E02B19">
      <w:pPr>
        <w:spacing w:after="0" w:line="360" w:lineRule="auto"/>
        <w:ind w:firstLine="709"/>
        <w:jc w:val="both"/>
        <w:rPr>
          <w:rFonts w:ascii="Times New Roman" w:hAnsi="Times New Roman" w:cs="Times New Roman"/>
          <w:sz w:val="28"/>
          <w:szCs w:val="28"/>
          <w:lang w:val="uk-UA"/>
        </w:rPr>
      </w:pPr>
    </w:p>
    <w:p w14:paraId="45EB6201" w14:textId="17104DD8" w:rsidR="00FF63BE" w:rsidRDefault="00BC0B3D" w:rsidP="00FF6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Публічне акціонерне товариство «Державний ощадний банк України» –</w:t>
      </w:r>
      <w:r w:rsidR="00FF63BE" w:rsidRPr="00FF63BE">
        <w:rPr>
          <w:rFonts w:ascii="Times New Roman" w:hAnsi="Times New Roman" w:cs="Times New Roman"/>
          <w:sz w:val="28"/>
          <w:szCs w:val="28"/>
          <w:lang w:val="uk-UA"/>
        </w:rPr>
        <w:t xml:space="preserve"> </w:t>
      </w:r>
      <w:r w:rsidR="00FF63BE">
        <w:rPr>
          <w:rFonts w:ascii="Times New Roman" w:hAnsi="Times New Roman" w:cs="Times New Roman"/>
          <w:sz w:val="28"/>
          <w:szCs w:val="28"/>
          <w:lang w:val="uk-UA"/>
        </w:rPr>
        <w:t>Проте податковий тягар у вітчизняній податковій системі є більш значним, у тому числі для банківських установ.</w:t>
      </w:r>
    </w:p>
    <w:p w14:paraId="13B7F125" w14:textId="77777777" w:rsidR="00D4651C" w:rsidRDefault="00D4651C" w:rsidP="00FF6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14:paraId="1E22B8CE" w14:textId="3E170217" w:rsidR="00FF63BE" w:rsidRDefault="00FF63BE" w:rsidP="00FF6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листопада 2018 року Міжнародний арбітражний суд виніс безпрецедентне рішення про стягнення з Росії 1,3 млрд доларів на користь Ощадбанку. </w:t>
      </w:r>
    </w:p>
    <w:p w14:paraId="351880DE" w14:textId="77777777" w:rsidR="00FF63BE" w:rsidRDefault="00FF63BE" w:rsidP="00FF6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Третій рік поспіль Ощадбанк випереджає інші державні банки за скороченням проблемних кредитів. У 2020 році обсяг проблемних кредитів банку зменшився на 20,6 млрд грн. З моменту прийняття Закону України «Про фінансову реструктуризацію» проведено реструктуризацію на загальну суму 43,5 млрд грн.</w:t>
      </w:r>
    </w:p>
    <w:p w14:paraId="4F22B0B4" w14:textId="77777777" w:rsidR="00E02B19" w:rsidRDefault="00E02B19">
      <w:pPr>
        <w:spacing w:after="0" w:line="360" w:lineRule="auto"/>
        <w:ind w:firstLine="709"/>
        <w:jc w:val="both"/>
        <w:rPr>
          <w:rFonts w:ascii="Times New Roman" w:hAnsi="Times New Roman" w:cs="Times New Roman"/>
          <w:sz w:val="28"/>
          <w:szCs w:val="28"/>
          <w:lang w:val="uk-UA"/>
        </w:rPr>
      </w:pPr>
    </w:p>
    <w:p w14:paraId="00E1C110" w14:textId="77777777" w:rsidR="00E02B19" w:rsidRDefault="00BC0B3D">
      <w:pPr>
        <w:pStyle w:val="Heading1"/>
        <w:spacing w:before="0" w:line="360" w:lineRule="auto"/>
        <w:ind w:firstLine="709"/>
        <w:jc w:val="both"/>
        <w:rPr>
          <w:rFonts w:ascii="Times New Roman" w:hAnsi="Times New Roman" w:cs="Times New Roman"/>
          <w:b/>
          <w:bCs/>
          <w:color w:val="auto"/>
          <w:sz w:val="28"/>
          <w:szCs w:val="28"/>
          <w:lang w:val="uk-UA"/>
        </w:rPr>
      </w:pPr>
      <w:bookmarkStart w:id="7" w:name="_Toc79333538"/>
      <w:bookmarkStart w:id="8" w:name="_Toc81597527"/>
      <w:bookmarkStart w:id="9" w:name="_Toc86527196"/>
      <w:r>
        <w:rPr>
          <w:rFonts w:ascii="Times New Roman" w:hAnsi="Times New Roman" w:cs="Times New Roman"/>
          <w:b/>
          <w:bCs/>
          <w:color w:val="auto"/>
          <w:sz w:val="28"/>
          <w:szCs w:val="28"/>
          <w:lang w:val="uk-UA"/>
        </w:rPr>
        <w:t xml:space="preserve">2.2. Організація роботи зі сплати податків </w:t>
      </w:r>
      <w:bookmarkStart w:id="10" w:name="_Hlk81578945"/>
      <w:bookmarkEnd w:id="7"/>
      <w:r>
        <w:rPr>
          <w:rFonts w:ascii="Times New Roman" w:hAnsi="Times New Roman" w:cs="Times New Roman"/>
          <w:b/>
          <w:bCs/>
          <w:color w:val="auto"/>
          <w:sz w:val="28"/>
          <w:szCs w:val="28"/>
          <w:lang w:val="uk-UA"/>
        </w:rPr>
        <w:t>ПАТ «Ощадбанк»</w:t>
      </w:r>
      <w:bookmarkEnd w:id="8"/>
      <w:bookmarkEnd w:id="9"/>
      <w:r>
        <w:rPr>
          <w:rFonts w:ascii="Times New Roman" w:hAnsi="Times New Roman" w:cs="Times New Roman"/>
          <w:b/>
          <w:bCs/>
          <w:color w:val="auto"/>
          <w:sz w:val="28"/>
          <w:szCs w:val="28"/>
          <w:lang w:val="uk-UA"/>
        </w:rPr>
        <w:t xml:space="preserve"> </w:t>
      </w:r>
      <w:bookmarkEnd w:id="10"/>
    </w:p>
    <w:p w14:paraId="6FB823DA" w14:textId="77777777" w:rsidR="00E02B19" w:rsidRDefault="00E02B19">
      <w:pPr>
        <w:spacing w:after="0" w:line="360" w:lineRule="auto"/>
        <w:ind w:firstLine="709"/>
        <w:jc w:val="both"/>
        <w:rPr>
          <w:rFonts w:ascii="Times New Roman" w:hAnsi="Times New Roman" w:cs="Times New Roman"/>
          <w:sz w:val="28"/>
          <w:szCs w:val="28"/>
          <w:lang w:val="uk-UA"/>
        </w:rPr>
      </w:pPr>
    </w:p>
    <w:p w14:paraId="63346902" w14:textId="77777777" w:rsidR="00C425A0" w:rsidRDefault="00C425A0" w:rsidP="00C425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 розробки податкової політики ЗАТ «Ощадбанк» здійснюється в кілька етапів, кожен з яких має свої цілі, завдання та форми реалізації. Виділяють наступні основні етапи:</w:t>
      </w:r>
    </w:p>
    <w:p w14:paraId="6CAD6C9B" w14:textId="77777777" w:rsidR="00C425A0" w:rsidRDefault="00C425A0" w:rsidP="00C425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Вивчення стану фінансово-господарської діяльності Банку та існуючих механізмів сплати податків; Аналіз поточного стану сплати податку, наявність заборгованості перед бюджетом, її строки погашення, оцінка можливості сплати.</w:t>
      </w:r>
    </w:p>
    <w:p w14:paraId="79C6946F" w14:textId="3302F896" w:rsidR="00E02B19" w:rsidRDefault="00D4651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14:paraId="7208A42D" w14:textId="5EEAC1B3" w:rsidR="00363E24" w:rsidRDefault="00BC0B3D" w:rsidP="00363E2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Можна побачити, що </w:t>
      </w:r>
      <w:bookmarkStart w:id="11" w:name="_Toc86527197"/>
      <w:r w:rsidR="00363E24">
        <w:rPr>
          <w:rFonts w:ascii="Times New Roman" w:hAnsi="Times New Roman" w:cs="Times New Roman"/>
          <w:sz w:val="28"/>
          <w:szCs w:val="28"/>
          <w:lang w:val="uk-UA"/>
        </w:rPr>
        <w:t>за звітний період збільшився обсяг ЄСВ. Це можна пояснити поступовим зростанням зарплат у банку. Загалом, як витрати на оплату праці, так і відрахування до позабюджетних фондів є однією з основних статей операційних витрат Ощадбанку.</w:t>
      </w:r>
    </w:p>
    <w:p w14:paraId="508F4D28" w14:textId="77777777" w:rsidR="00363E24" w:rsidRDefault="00363E24" w:rsidP="00363E2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ПАТ «Ощадбанк» сплачує всі податки, передбачені вимогами Податкового кодексу, активно поповнює бюджети України різних рівнів, корисно для поповнення фінансових ресурсів державної скарбниці.</w:t>
      </w:r>
    </w:p>
    <w:p w14:paraId="455EF3A5" w14:textId="77777777" w:rsidR="00363E24" w:rsidRDefault="00363E24" w:rsidP="00363E24">
      <w:pPr>
        <w:spacing w:after="0" w:line="360" w:lineRule="auto"/>
        <w:ind w:firstLine="709"/>
        <w:jc w:val="both"/>
        <w:rPr>
          <w:rFonts w:ascii="Times New Roman" w:hAnsi="Times New Roman" w:cs="Times New Roman"/>
          <w:b/>
          <w:bCs/>
          <w:sz w:val="28"/>
          <w:szCs w:val="28"/>
          <w:lang w:val="uk-UA"/>
        </w:rPr>
      </w:pPr>
    </w:p>
    <w:p w14:paraId="6A5793A9" w14:textId="77777777" w:rsidR="00363E24" w:rsidRDefault="00363E24" w:rsidP="00363E24">
      <w:pPr>
        <w:spacing w:after="0" w:line="360" w:lineRule="auto"/>
        <w:ind w:firstLine="709"/>
        <w:jc w:val="both"/>
        <w:rPr>
          <w:rFonts w:ascii="Times New Roman" w:hAnsi="Times New Roman" w:cs="Times New Roman"/>
          <w:b/>
          <w:bCs/>
          <w:sz w:val="28"/>
          <w:szCs w:val="28"/>
          <w:lang w:val="uk-UA"/>
        </w:rPr>
      </w:pPr>
    </w:p>
    <w:p w14:paraId="7A77BF17" w14:textId="77777777" w:rsidR="00363E24" w:rsidRDefault="00363E24" w:rsidP="00363E24">
      <w:pPr>
        <w:spacing w:after="0" w:line="360" w:lineRule="auto"/>
        <w:ind w:firstLine="709"/>
        <w:jc w:val="both"/>
        <w:rPr>
          <w:rFonts w:ascii="Times New Roman" w:hAnsi="Times New Roman" w:cs="Times New Roman"/>
          <w:b/>
          <w:bCs/>
          <w:sz w:val="28"/>
          <w:szCs w:val="28"/>
          <w:lang w:val="uk-UA"/>
        </w:rPr>
      </w:pPr>
    </w:p>
    <w:p w14:paraId="65AAEDE3" w14:textId="3CC8B294" w:rsidR="00E02B19" w:rsidRDefault="00BC0B3D" w:rsidP="00363E24">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РОЗДІЛ 3. НАПРЯМКИ ВДОСКОНАЛЕННЯ ПОДАТКОВОГО МЕНЕДЖМЕНТУ ПАТ «ОЩАДБАНК» ТА ОПОДАТКУВАННЯ БАНКІВ УКРАЇНИ</w:t>
      </w:r>
      <w:bookmarkEnd w:id="11"/>
    </w:p>
    <w:p w14:paraId="69751C77" w14:textId="77777777" w:rsidR="00E02B19" w:rsidRDefault="00E02B19">
      <w:pPr>
        <w:spacing w:after="0" w:line="360" w:lineRule="auto"/>
        <w:ind w:firstLine="709"/>
        <w:jc w:val="both"/>
        <w:rPr>
          <w:rFonts w:ascii="Times New Roman" w:hAnsi="Times New Roman" w:cs="Times New Roman"/>
          <w:sz w:val="28"/>
          <w:szCs w:val="28"/>
          <w:lang w:val="uk-UA"/>
        </w:rPr>
      </w:pPr>
    </w:p>
    <w:p w14:paraId="4CD1FCDD" w14:textId="77777777" w:rsidR="00E02B19" w:rsidRDefault="00BC0B3D">
      <w:pPr>
        <w:pStyle w:val="Heading1"/>
        <w:spacing w:before="0" w:line="360" w:lineRule="auto"/>
        <w:ind w:firstLine="709"/>
        <w:jc w:val="both"/>
        <w:rPr>
          <w:rFonts w:ascii="Times New Roman" w:hAnsi="Times New Roman" w:cs="Times New Roman"/>
          <w:b/>
          <w:bCs/>
          <w:color w:val="auto"/>
          <w:sz w:val="28"/>
          <w:szCs w:val="28"/>
          <w:lang w:val="uk-UA"/>
        </w:rPr>
      </w:pPr>
      <w:bookmarkStart w:id="12" w:name="_Toc86527198"/>
      <w:r>
        <w:rPr>
          <w:rFonts w:ascii="Times New Roman" w:hAnsi="Times New Roman" w:cs="Times New Roman"/>
          <w:b/>
          <w:bCs/>
          <w:color w:val="auto"/>
          <w:sz w:val="28"/>
          <w:szCs w:val="28"/>
          <w:lang w:val="uk-UA"/>
        </w:rPr>
        <w:t>3.1. Удосконалення податкового менеджменту ПАТ «Ощадбанк»</w:t>
      </w:r>
      <w:bookmarkEnd w:id="12"/>
    </w:p>
    <w:p w14:paraId="2EDE78E3" w14:textId="77777777" w:rsidR="00E02B19" w:rsidRDefault="00E02B19">
      <w:pPr>
        <w:spacing w:after="0" w:line="360" w:lineRule="auto"/>
        <w:ind w:firstLine="709"/>
        <w:jc w:val="both"/>
        <w:rPr>
          <w:rFonts w:ascii="Times New Roman" w:hAnsi="Times New Roman" w:cs="Times New Roman"/>
          <w:sz w:val="28"/>
          <w:szCs w:val="28"/>
          <w:lang w:val="uk-UA"/>
        </w:rPr>
      </w:pPr>
    </w:p>
    <w:p w14:paraId="2D57256C" w14:textId="77777777" w:rsidR="00363E24" w:rsidRDefault="00363E24" w:rsidP="00363E2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Податковий менеджмент ПАТ «Ощадбанк» має базуватися насамперед на принципах податкового планування. Концепція податкового планування — це </w:t>
      </w:r>
      <w:r>
        <w:rPr>
          <w:rFonts w:ascii="Times New Roman" w:hAnsi="Times New Roman" w:cs="Times New Roman"/>
          <w:sz w:val="28"/>
          <w:szCs w:val="28"/>
          <w:lang w:val="uk-UA"/>
        </w:rPr>
        <w:lastRenderedPageBreak/>
        <w:t>система поглядів платників податків щодо максимального використання чинного законодавства з метою оптимізації чи зміни строків сплати податків, відповідно, збільшення доходів та прибутків суб’єктів господарювання.</w:t>
      </w:r>
    </w:p>
    <w:p w14:paraId="7C08E279" w14:textId="77777777" w:rsidR="00D4651C" w:rsidRDefault="00D4651C" w:rsidP="00363E2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14:paraId="000A8CBC" w14:textId="2942A035" w:rsidR="00363E24" w:rsidRDefault="00363E24" w:rsidP="00363E2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Правильно організоване податкове планування дозволяє підприємству: дотримуватися податкового законодавства з правильним розрахунком податків та інших платежів податкового характеру; мінімізація податкових зобов'язань; максимальний прибуток; розробка структури взаємовигідних угод; Ефективне управління грошовими потоками та уникнення штрафних санкцій.</w:t>
      </w:r>
    </w:p>
    <w:p w14:paraId="118CD325" w14:textId="77777777" w:rsidR="00E02B19" w:rsidRDefault="00E02B19">
      <w:pPr>
        <w:spacing w:after="0" w:line="360" w:lineRule="auto"/>
        <w:ind w:firstLine="709"/>
        <w:jc w:val="both"/>
        <w:rPr>
          <w:rFonts w:ascii="Times New Roman" w:hAnsi="Times New Roman" w:cs="Times New Roman"/>
          <w:sz w:val="28"/>
          <w:szCs w:val="28"/>
          <w:lang w:val="uk-UA"/>
        </w:rPr>
      </w:pPr>
    </w:p>
    <w:p w14:paraId="628CEE28" w14:textId="77777777" w:rsidR="00E02B19" w:rsidRDefault="00BC0B3D">
      <w:pPr>
        <w:pStyle w:val="Heading1"/>
        <w:spacing w:before="0" w:line="360" w:lineRule="auto"/>
        <w:ind w:firstLine="709"/>
        <w:jc w:val="both"/>
        <w:rPr>
          <w:rFonts w:ascii="Times New Roman" w:hAnsi="Times New Roman" w:cs="Times New Roman"/>
          <w:b/>
          <w:bCs/>
          <w:color w:val="auto"/>
          <w:sz w:val="28"/>
          <w:szCs w:val="28"/>
          <w:lang w:val="uk-UA"/>
        </w:rPr>
      </w:pPr>
      <w:bookmarkStart w:id="13" w:name="_Toc86527199"/>
      <w:r>
        <w:rPr>
          <w:rFonts w:ascii="Times New Roman" w:hAnsi="Times New Roman" w:cs="Times New Roman"/>
          <w:b/>
          <w:bCs/>
          <w:color w:val="auto"/>
          <w:sz w:val="28"/>
          <w:szCs w:val="28"/>
          <w:lang w:val="uk-UA"/>
        </w:rPr>
        <w:t>3.2. Удосконалення оподаткування банків в Україні</w:t>
      </w:r>
      <w:bookmarkEnd w:id="13"/>
    </w:p>
    <w:p w14:paraId="53996BD1" w14:textId="77777777" w:rsidR="00E02B19" w:rsidRDefault="00E02B19">
      <w:pPr>
        <w:spacing w:after="0" w:line="360" w:lineRule="auto"/>
        <w:ind w:firstLine="709"/>
        <w:jc w:val="both"/>
        <w:rPr>
          <w:rFonts w:ascii="Times New Roman" w:hAnsi="Times New Roman" w:cs="Times New Roman"/>
          <w:sz w:val="28"/>
          <w:szCs w:val="28"/>
          <w:lang w:val="uk-UA"/>
        </w:rPr>
      </w:pPr>
    </w:p>
    <w:p w14:paraId="5B87BD40" w14:textId="77777777" w:rsidR="00363E24" w:rsidRDefault="00363E24" w:rsidP="00363E2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зазначити, що незважаючи на податкові реформи, які позитивно вплинули на податок на прибуток банківських установ, вітчизняне законодавство, яке дозволяє банківським установам ухилятися від сплати податків, зборів та інших обов’язкових платежів, залишається недосконалим.</w:t>
      </w:r>
    </w:p>
    <w:p w14:paraId="42344A7E" w14:textId="77777777" w:rsidR="00D4651C" w:rsidRDefault="00D4651C" w:rsidP="00363E2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14:paraId="70A5A446" w14:textId="0AC85367" w:rsidR="00363E24" w:rsidRDefault="00363E24" w:rsidP="00363E2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необхідно вдосконалити систему оподаткування банківських установ в Україні. Зменшення податкового навантаження для вітчизняних банків сприятиме зниженню вартості банківських послуг, що в кінцевому підсумку стимулюватиме інвестиції, оскільки здешевлення кредитів призведе до збільшення обсягів кредитування для поповнення ресурсної бази для інвестиційної діяльності.</w:t>
      </w:r>
    </w:p>
    <w:p w14:paraId="5B351F06" w14:textId="252DE0CD" w:rsidR="00E02B19" w:rsidRDefault="00363E2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FF41A2D" w14:textId="77777777" w:rsidR="00E02B19" w:rsidRDefault="00BC0B3D">
      <w:pPr>
        <w:pStyle w:val="Heading1"/>
        <w:spacing w:before="0" w:line="360" w:lineRule="auto"/>
        <w:jc w:val="center"/>
        <w:rPr>
          <w:rFonts w:ascii="Times New Roman" w:hAnsi="Times New Roman" w:cs="Times New Roman"/>
          <w:b/>
          <w:bCs/>
          <w:color w:val="auto"/>
          <w:sz w:val="28"/>
          <w:szCs w:val="28"/>
          <w:lang w:val="uk-UA"/>
        </w:rPr>
      </w:pPr>
      <w:bookmarkStart w:id="14" w:name="_Toc81597536"/>
      <w:bookmarkStart w:id="15" w:name="_Toc86527200"/>
      <w:r>
        <w:rPr>
          <w:rFonts w:ascii="Times New Roman" w:hAnsi="Times New Roman" w:cs="Times New Roman"/>
          <w:b/>
          <w:bCs/>
          <w:color w:val="auto"/>
          <w:sz w:val="28"/>
          <w:szCs w:val="28"/>
          <w:lang w:val="uk-UA"/>
        </w:rPr>
        <w:lastRenderedPageBreak/>
        <w:t>ВИСНОВКИ</w:t>
      </w:r>
      <w:bookmarkEnd w:id="14"/>
      <w:bookmarkEnd w:id="15"/>
    </w:p>
    <w:p w14:paraId="729CE086" w14:textId="77777777" w:rsidR="00E02B19" w:rsidRDefault="00E02B19">
      <w:pPr>
        <w:spacing w:after="0" w:line="360" w:lineRule="auto"/>
        <w:jc w:val="center"/>
        <w:rPr>
          <w:rFonts w:ascii="Times New Roman" w:hAnsi="Times New Roman" w:cs="Times New Roman"/>
          <w:sz w:val="28"/>
          <w:szCs w:val="28"/>
          <w:lang w:val="uk-UA"/>
        </w:rPr>
      </w:pPr>
    </w:p>
    <w:p w14:paraId="5D5405C4" w14:textId="77777777" w:rsidR="000C50AB" w:rsidRDefault="000C50AB" w:rsidP="000C50A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податкове регулювання банківської діяльності трактується як цілеспрямований комплексний процес використання інструментів та інструментів державної податкової політики для впливу на банківську діяльність з метою стимулювання або припинення надання банківських послуг для досягнення позитивних соціально-економічних результатів.</w:t>
      </w:r>
    </w:p>
    <w:p w14:paraId="6CF27725" w14:textId="77777777" w:rsidR="00D4651C" w:rsidRDefault="00D4651C" w:rsidP="000C50AB">
      <w:pPr>
        <w:spacing w:after="0" w:line="360" w:lineRule="auto"/>
        <w:ind w:firstLine="709"/>
        <w:jc w:val="both"/>
        <w:rPr>
          <w:rFonts w:ascii="Times New Roman" w:hAnsi="Times New Roman" w:cs="Times New Roman"/>
          <w:sz w:val="28"/>
          <w:szCs w:val="28"/>
          <w:lang w:val="uk-UA"/>
        </w:rPr>
      </w:pPr>
      <w:bookmarkStart w:id="16" w:name="_Toc79333548"/>
      <w:bookmarkStart w:id="17" w:name="_Toc81597537"/>
      <w:bookmarkStart w:id="18" w:name="_Toc86527201"/>
      <w:r>
        <w:rPr>
          <w:rFonts w:ascii="Times New Roman" w:hAnsi="Times New Roman" w:cs="Times New Roman"/>
          <w:sz w:val="28"/>
          <w:szCs w:val="28"/>
          <w:lang w:val="uk-UA"/>
        </w:rPr>
        <w:t>…</w:t>
      </w:r>
    </w:p>
    <w:p w14:paraId="71F4879A" w14:textId="492A0AF0" w:rsidR="000C50AB" w:rsidRDefault="000C50AB" w:rsidP="000C50A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необхідно вдосконалити систему оподаткування банківських установ в Україні. Зменшення податкового навантаження для вітчизняних банків сприятиме зниженню вартості банківських послуг, що в кінцевому підсумку стимулюватиме інвестиції, оскільки здешевлення кредитів призведе до збільшення обсягів кредитування для поповнення ресурсної бази для інвестиційної діяльності.</w:t>
      </w:r>
    </w:p>
    <w:p w14:paraId="342A75B7" w14:textId="77777777" w:rsidR="00E02B19" w:rsidRDefault="00BC0B3D">
      <w:pPr>
        <w:pStyle w:val="Heading1"/>
        <w:spacing w:before="0" w:line="360" w:lineRule="auto"/>
        <w:jc w:val="center"/>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t>СПИСОК ВИКОРИСТАНИХ ДЖЕРЕЛ</w:t>
      </w:r>
      <w:bookmarkEnd w:id="16"/>
      <w:bookmarkEnd w:id="17"/>
      <w:bookmarkEnd w:id="18"/>
    </w:p>
    <w:p w14:paraId="5BF2BD81" w14:textId="77777777" w:rsidR="00E02B19" w:rsidRDefault="00E02B19">
      <w:pPr>
        <w:spacing w:after="0" w:line="360" w:lineRule="auto"/>
        <w:ind w:firstLine="709"/>
        <w:jc w:val="both"/>
        <w:rPr>
          <w:rFonts w:ascii="Times New Roman" w:hAnsi="Times New Roman" w:cs="Times New Roman"/>
          <w:sz w:val="28"/>
          <w:szCs w:val="28"/>
          <w:lang w:val="uk-UA"/>
        </w:rPr>
      </w:pPr>
    </w:p>
    <w:p w14:paraId="0A5CD768"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shd w:val="clear" w:color="auto" w:fill="FFFFFF"/>
          <w:lang w:val="uk-UA"/>
        </w:rPr>
      </w:pPr>
      <w:proofErr w:type="spellStart"/>
      <w:r>
        <w:rPr>
          <w:rFonts w:ascii="Times New Roman" w:hAnsi="Times New Roman" w:cs="Times New Roman"/>
          <w:sz w:val="28"/>
          <w:szCs w:val="28"/>
          <w:shd w:val="clear" w:color="auto" w:fill="FFFFFF"/>
          <w:lang w:val="uk-UA"/>
        </w:rPr>
        <w:t>Афіногентова</w:t>
      </w:r>
      <w:proofErr w:type="spellEnd"/>
      <w:r>
        <w:rPr>
          <w:rFonts w:ascii="Times New Roman" w:hAnsi="Times New Roman" w:cs="Times New Roman"/>
          <w:sz w:val="28"/>
          <w:szCs w:val="28"/>
          <w:shd w:val="clear" w:color="auto" w:fill="FFFFFF"/>
          <w:lang w:val="uk-UA"/>
        </w:rPr>
        <w:t xml:space="preserve"> Н. Ю. Специфіка діяльності банків, як </w:t>
      </w:r>
      <w:proofErr w:type="spellStart"/>
      <w:r>
        <w:rPr>
          <w:rFonts w:ascii="Times New Roman" w:hAnsi="Times New Roman" w:cs="Times New Roman"/>
          <w:sz w:val="28"/>
          <w:szCs w:val="28"/>
          <w:shd w:val="clear" w:color="auto" w:fill="FFFFFF"/>
          <w:lang w:val="uk-UA"/>
        </w:rPr>
        <w:t>субєктів</w:t>
      </w:r>
      <w:proofErr w:type="spellEnd"/>
      <w:r>
        <w:rPr>
          <w:rFonts w:ascii="Times New Roman" w:hAnsi="Times New Roman" w:cs="Times New Roman"/>
          <w:sz w:val="28"/>
          <w:szCs w:val="28"/>
          <w:shd w:val="clear" w:color="auto" w:fill="FFFFFF"/>
          <w:lang w:val="uk-UA"/>
        </w:rPr>
        <w:t xml:space="preserve"> податкових правовідносин. Вісник соціально-економічних досліджень, 2012 рік, Випуск 3 (46), ч. 2, С. 123-129.</w:t>
      </w:r>
    </w:p>
    <w:p w14:paraId="26C06695"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Бак Н. А. Податкова система України : </w:t>
      </w:r>
      <w:proofErr w:type="spellStart"/>
      <w:r>
        <w:rPr>
          <w:rFonts w:ascii="Times New Roman" w:hAnsi="Times New Roman" w:cs="Times New Roman"/>
          <w:sz w:val="28"/>
          <w:szCs w:val="28"/>
          <w:lang w:val="uk-UA"/>
        </w:rPr>
        <w:t>навч</w:t>
      </w:r>
      <w:proofErr w:type="spellEnd"/>
      <w:r>
        <w:rPr>
          <w:rFonts w:ascii="Times New Roman" w:hAnsi="Times New Roman" w:cs="Times New Roman"/>
          <w:sz w:val="28"/>
          <w:szCs w:val="28"/>
          <w:lang w:val="uk-UA"/>
        </w:rPr>
        <w:t xml:space="preserve">. посібник. Чернівці: Чернівецький </w:t>
      </w:r>
      <w:proofErr w:type="spellStart"/>
      <w:r>
        <w:rPr>
          <w:rFonts w:ascii="Times New Roman" w:hAnsi="Times New Roman" w:cs="Times New Roman"/>
          <w:sz w:val="28"/>
          <w:szCs w:val="28"/>
          <w:lang w:val="uk-UA"/>
        </w:rPr>
        <w:t>нац</w:t>
      </w:r>
      <w:proofErr w:type="spellEnd"/>
      <w:r>
        <w:rPr>
          <w:rFonts w:ascii="Times New Roman" w:hAnsi="Times New Roman" w:cs="Times New Roman"/>
          <w:sz w:val="28"/>
          <w:szCs w:val="28"/>
          <w:lang w:val="uk-UA"/>
        </w:rPr>
        <w:t>. ун-т, 2017. 142 с.</w:t>
      </w:r>
    </w:p>
    <w:p w14:paraId="3E2C25A4"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Бюджетний кодекс України. URL: https://zаkоn.rаdа.gоv.uа/lаws/shоw/2456-17/еd20150920</w:t>
      </w:r>
    </w:p>
    <w:p w14:paraId="3EACD14E"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Варналій</w:t>
      </w:r>
      <w:proofErr w:type="spellEnd"/>
      <w:r>
        <w:rPr>
          <w:rFonts w:ascii="Times New Roman" w:hAnsi="Times New Roman" w:cs="Times New Roman"/>
          <w:sz w:val="28"/>
          <w:szCs w:val="28"/>
          <w:lang w:val="uk-UA"/>
        </w:rPr>
        <w:t xml:space="preserve"> З. С., Романюк М.В. Податкова система : підручник. Київ: Знання України, 2019. 567 с. </w:t>
      </w:r>
    </w:p>
    <w:p w14:paraId="06E6772E"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Вергелюк</w:t>
      </w:r>
      <w:proofErr w:type="spellEnd"/>
      <w:r>
        <w:rPr>
          <w:rFonts w:ascii="Times New Roman" w:hAnsi="Times New Roman" w:cs="Times New Roman"/>
          <w:sz w:val="28"/>
          <w:szCs w:val="28"/>
          <w:lang w:val="uk-UA"/>
        </w:rPr>
        <w:t xml:space="preserve"> Ю. Ю. Теоретичні засади формування податкового потенціалу фінансового ринку. Економіка та держава. 2018. № 2. С. 62–65.</w:t>
      </w:r>
    </w:p>
    <w:p w14:paraId="5276CB05"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Господарський кодекс України від 16.01.2003 № 436-ІV. Відомості Верховної ради України. </w:t>
      </w:r>
      <w:r>
        <w:rPr>
          <w:rFonts w:ascii="Times New Roman" w:hAnsi="Times New Roman" w:cs="Times New Roman"/>
          <w:sz w:val="28"/>
          <w:szCs w:val="28"/>
        </w:rPr>
        <w:t>URL</w:t>
      </w:r>
      <w:r>
        <w:rPr>
          <w:rFonts w:ascii="Times New Roman" w:hAnsi="Times New Roman" w:cs="Times New Roman"/>
          <w:sz w:val="28"/>
          <w:szCs w:val="28"/>
          <w:lang w:val="uk-UA"/>
        </w:rPr>
        <w:t xml:space="preserve">: </w:t>
      </w:r>
      <w:hyperlink r:id="rId9" w:tooltip="http://zakon2.rada.gov.ua/laws/436-15" w:history="1">
        <w:r>
          <w:rPr>
            <w:rStyle w:val="Hyperlink"/>
            <w:rFonts w:ascii="Times New Roman" w:hAnsi="Times New Roman" w:cs="Times New Roman"/>
            <w:color w:val="auto"/>
            <w:sz w:val="28"/>
            <w:szCs w:val="28"/>
            <w:u w:val="none"/>
            <w:lang w:val="uk-UA"/>
          </w:rPr>
          <w:t>http://zаkоn2.rаdа.gоv.uа/lаws/436-15</w:t>
        </w:r>
      </w:hyperlink>
    </w:p>
    <w:p w14:paraId="32575835"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Дзюба О. В. Податкове регулювання банківської діяльності в Україні та визначення його пріоритетних функцій. Економічний вісник Переяслав-Хмельницького державного педагогічного університету ім. Г. Сковороди (Фінанси, грошовий обіг, кредит). 2011. №17/1. С. 45-50.</w:t>
      </w:r>
    </w:p>
    <w:p w14:paraId="5BDFB77A"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Динаміка податкового навантаження в Україні в контексті реалізації податкової реформи / за ред. Т. І. Єфименко, А. М. Соколовської. Київ: ДННУ «Академія фінансового управління», 2013. 494 с.</w:t>
      </w:r>
    </w:p>
    <w:p w14:paraId="308EB570"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Євченко</w:t>
      </w:r>
      <w:proofErr w:type="spellEnd"/>
      <w:r>
        <w:rPr>
          <w:rFonts w:ascii="Times New Roman" w:hAnsi="Times New Roman" w:cs="Times New Roman"/>
          <w:sz w:val="28"/>
          <w:szCs w:val="28"/>
          <w:lang w:val="uk-UA"/>
        </w:rPr>
        <w:t xml:space="preserve"> Н. Г. Оподаткування як фактор банківської діяльності. Економіка: проблеми теорії і практики : </w:t>
      </w:r>
      <w:proofErr w:type="spellStart"/>
      <w:r>
        <w:rPr>
          <w:rFonts w:ascii="Times New Roman" w:hAnsi="Times New Roman" w:cs="Times New Roman"/>
          <w:sz w:val="28"/>
          <w:szCs w:val="28"/>
          <w:lang w:val="uk-UA"/>
        </w:rPr>
        <w:t>зб</w:t>
      </w:r>
      <w:proofErr w:type="spellEnd"/>
      <w:r>
        <w:rPr>
          <w:rFonts w:ascii="Times New Roman" w:hAnsi="Times New Roman" w:cs="Times New Roman"/>
          <w:sz w:val="28"/>
          <w:szCs w:val="28"/>
          <w:lang w:val="uk-UA"/>
        </w:rPr>
        <w:t xml:space="preserve">. наук. праць / Дніпропетровський національний університет. Дніпропетровськ, 2008.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240. Т. І. С. 69–75.</w:t>
      </w:r>
    </w:p>
    <w:p w14:paraId="6DD355AA"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uk-UA"/>
        </w:rPr>
        <w:t>Молодико</w:t>
      </w:r>
      <w:proofErr w:type="spellEnd"/>
      <w:r>
        <w:rPr>
          <w:rFonts w:ascii="Times New Roman" w:hAnsi="Times New Roman" w:cs="Times New Roman"/>
          <w:sz w:val="28"/>
          <w:szCs w:val="28"/>
          <w:lang w:val="uk-UA"/>
        </w:rPr>
        <w:t xml:space="preserve"> К. Ю. Податкові пільги як засіб впливу на розвиток комерційних банків. Наукові записки </w:t>
      </w:r>
      <w:proofErr w:type="spellStart"/>
      <w:r>
        <w:rPr>
          <w:rFonts w:ascii="Times New Roman" w:hAnsi="Times New Roman" w:cs="Times New Roman"/>
          <w:sz w:val="28"/>
          <w:szCs w:val="28"/>
          <w:lang w:val="uk-UA"/>
        </w:rPr>
        <w:t>НаУКМА</w:t>
      </w:r>
      <w:proofErr w:type="spellEnd"/>
      <w:r>
        <w:rPr>
          <w:rFonts w:ascii="Times New Roman" w:hAnsi="Times New Roman" w:cs="Times New Roman"/>
          <w:sz w:val="28"/>
          <w:szCs w:val="28"/>
          <w:lang w:val="uk-UA"/>
        </w:rPr>
        <w:t>. Том 116. Юридичні науки. 2011. С. 90-94</w:t>
      </w:r>
      <w:r>
        <w:rPr>
          <w:rFonts w:ascii="Times New Roman" w:hAnsi="Times New Roman" w:cs="Times New Roman"/>
          <w:sz w:val="28"/>
          <w:szCs w:val="28"/>
          <w:lang w:val="ru-RU"/>
        </w:rPr>
        <w:t>.</w:t>
      </w:r>
    </w:p>
    <w:p w14:paraId="5F8A3BA3"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Офіційний веб-сайт ПАТ «Ощадбанк». URL: https://www.оsсhаdbаnk.uа/</w:t>
      </w:r>
    </w:p>
    <w:p w14:paraId="551ED72C"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Офіційний сайт Національного банку України. URL: </w:t>
      </w:r>
      <w:hyperlink r:id="rId10" w:tooltip="http://www.bank.gov.ua/control/uk/index" w:history="1">
        <w:r>
          <w:rPr>
            <w:rStyle w:val="Hyperlink"/>
            <w:rFonts w:ascii="Times New Roman" w:hAnsi="Times New Roman" w:cs="Times New Roman"/>
            <w:color w:val="auto"/>
            <w:sz w:val="28"/>
            <w:szCs w:val="28"/>
            <w:u w:val="none"/>
            <w:lang w:val="uk-UA"/>
          </w:rPr>
          <w:t>http://www.bаnk.gоv.uа/соntrоl/uk/іndех</w:t>
        </w:r>
      </w:hyperlink>
      <w:r>
        <w:rPr>
          <w:rFonts w:ascii="Times New Roman" w:hAnsi="Times New Roman" w:cs="Times New Roman"/>
          <w:sz w:val="28"/>
          <w:szCs w:val="28"/>
          <w:lang w:val="uk-UA"/>
        </w:rPr>
        <w:t>.</w:t>
      </w:r>
    </w:p>
    <w:p w14:paraId="1B318F99"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Побоча</w:t>
      </w:r>
      <w:proofErr w:type="spellEnd"/>
      <w:r>
        <w:rPr>
          <w:rFonts w:ascii="Times New Roman" w:hAnsi="Times New Roman" w:cs="Times New Roman"/>
          <w:sz w:val="28"/>
          <w:szCs w:val="28"/>
          <w:lang w:val="uk-UA"/>
        </w:rPr>
        <w:t xml:space="preserve"> К. П. Податкове стимулювання банківського інвестування в Україні. Причорноморські економічні студії. 2018.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36(2). С. 99-102.</w:t>
      </w:r>
    </w:p>
    <w:p w14:paraId="575EA78A"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shd w:val="clear" w:color="auto" w:fill="FFFFFF"/>
          <w:lang w:val="uk-UA"/>
        </w:rPr>
      </w:pPr>
      <w:proofErr w:type="spellStart"/>
      <w:r>
        <w:rPr>
          <w:rFonts w:ascii="Times New Roman" w:hAnsi="Times New Roman" w:cs="Times New Roman"/>
          <w:sz w:val="28"/>
          <w:szCs w:val="28"/>
          <w:lang w:val="uk-UA"/>
        </w:rPr>
        <w:t>Побоча</w:t>
      </w:r>
      <w:proofErr w:type="spellEnd"/>
      <w:r>
        <w:rPr>
          <w:rFonts w:ascii="Times New Roman" w:hAnsi="Times New Roman" w:cs="Times New Roman"/>
          <w:sz w:val="28"/>
          <w:szCs w:val="28"/>
          <w:lang w:val="uk-UA"/>
        </w:rPr>
        <w:t xml:space="preserve"> К. П. Проблемні аспекти податкового стимулювання банківського інвестування в Україні. Актуальні економічні, фінансові та правові питання в умовах євроінтеграції та глобальної конкуренції : </w:t>
      </w:r>
      <w:proofErr w:type="spellStart"/>
      <w:r>
        <w:rPr>
          <w:rFonts w:ascii="Times New Roman" w:hAnsi="Times New Roman" w:cs="Times New Roman"/>
          <w:sz w:val="28"/>
          <w:szCs w:val="28"/>
          <w:lang w:val="uk-UA"/>
        </w:rPr>
        <w:t>зб</w:t>
      </w:r>
      <w:proofErr w:type="spellEnd"/>
      <w:r>
        <w:rPr>
          <w:rFonts w:ascii="Times New Roman" w:hAnsi="Times New Roman" w:cs="Times New Roman"/>
          <w:sz w:val="28"/>
          <w:szCs w:val="28"/>
          <w:lang w:val="uk-UA"/>
        </w:rPr>
        <w:t xml:space="preserve">. матер. </w:t>
      </w:r>
      <w:proofErr w:type="spellStart"/>
      <w:r>
        <w:rPr>
          <w:rFonts w:ascii="Times New Roman" w:hAnsi="Times New Roman" w:cs="Times New Roman"/>
          <w:sz w:val="28"/>
          <w:szCs w:val="28"/>
          <w:lang w:val="uk-UA"/>
        </w:rPr>
        <w:t>Міжнар</w:t>
      </w:r>
      <w:proofErr w:type="spellEnd"/>
      <w:r>
        <w:rPr>
          <w:rFonts w:ascii="Times New Roman" w:hAnsi="Times New Roman" w:cs="Times New Roman"/>
          <w:sz w:val="28"/>
          <w:szCs w:val="28"/>
          <w:lang w:val="uk-UA"/>
        </w:rPr>
        <w:t>. наук.-</w:t>
      </w:r>
      <w:proofErr w:type="spellStart"/>
      <w:r>
        <w:rPr>
          <w:rFonts w:ascii="Times New Roman" w:hAnsi="Times New Roman" w:cs="Times New Roman"/>
          <w:sz w:val="28"/>
          <w:szCs w:val="28"/>
          <w:lang w:val="uk-UA"/>
        </w:rPr>
        <w:t>практ</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конф</w:t>
      </w:r>
      <w:proofErr w:type="spellEnd"/>
      <w:r>
        <w:rPr>
          <w:rFonts w:ascii="Times New Roman" w:hAnsi="Times New Roman" w:cs="Times New Roman"/>
          <w:sz w:val="28"/>
          <w:szCs w:val="28"/>
          <w:lang w:val="uk-UA"/>
        </w:rPr>
        <w:t xml:space="preserve">., 26-27 лютого 2019 р., Ірпінь. Ун-т ДФС України, Навчально-науковий ін-т фінансів, банківської справи, Ірпінський </w:t>
      </w:r>
      <w:proofErr w:type="spellStart"/>
      <w:r>
        <w:rPr>
          <w:rFonts w:ascii="Times New Roman" w:hAnsi="Times New Roman" w:cs="Times New Roman"/>
          <w:sz w:val="28"/>
          <w:szCs w:val="28"/>
          <w:lang w:val="uk-UA"/>
        </w:rPr>
        <w:t>держ</w:t>
      </w:r>
      <w:proofErr w:type="spellEnd"/>
      <w:r>
        <w:rPr>
          <w:rFonts w:ascii="Times New Roman" w:hAnsi="Times New Roman" w:cs="Times New Roman"/>
          <w:sz w:val="28"/>
          <w:szCs w:val="28"/>
          <w:lang w:val="uk-UA"/>
        </w:rPr>
        <w:t>. коледж економіки та права. Ірпінь, 2019. С. 93–95.</w:t>
      </w:r>
    </w:p>
    <w:p w14:paraId="654E337F"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Податкова система : </w:t>
      </w:r>
      <w:proofErr w:type="spellStart"/>
      <w:r>
        <w:rPr>
          <w:rFonts w:ascii="Times New Roman" w:hAnsi="Times New Roman" w:cs="Times New Roman"/>
          <w:sz w:val="28"/>
          <w:szCs w:val="28"/>
          <w:lang w:val="uk-UA"/>
        </w:rPr>
        <w:t>навч</w:t>
      </w:r>
      <w:proofErr w:type="spellEnd"/>
      <w:r>
        <w:rPr>
          <w:rFonts w:ascii="Times New Roman" w:hAnsi="Times New Roman" w:cs="Times New Roman"/>
          <w:sz w:val="28"/>
          <w:szCs w:val="28"/>
          <w:lang w:val="uk-UA"/>
        </w:rPr>
        <w:t xml:space="preserve">. посібник / за </w:t>
      </w:r>
      <w:proofErr w:type="spellStart"/>
      <w:r>
        <w:rPr>
          <w:rFonts w:ascii="Times New Roman" w:hAnsi="Times New Roman" w:cs="Times New Roman"/>
          <w:sz w:val="28"/>
          <w:szCs w:val="28"/>
          <w:lang w:val="uk-UA"/>
        </w:rPr>
        <w:t>заг</w:t>
      </w:r>
      <w:proofErr w:type="spellEnd"/>
      <w:r>
        <w:rPr>
          <w:rFonts w:ascii="Times New Roman" w:hAnsi="Times New Roman" w:cs="Times New Roman"/>
          <w:sz w:val="28"/>
          <w:szCs w:val="28"/>
          <w:lang w:val="uk-UA"/>
        </w:rPr>
        <w:t>. ред. Андрущенка В.Л. Київ : «Центр учбової літератури», 2015. 416 с.</w:t>
      </w:r>
    </w:p>
    <w:p w14:paraId="041A6B3A"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bookmarkStart w:id="19" w:name="_Hlk79181640"/>
      <w:r>
        <w:rPr>
          <w:rFonts w:ascii="Times New Roman" w:hAnsi="Times New Roman" w:cs="Times New Roman"/>
          <w:sz w:val="28"/>
          <w:szCs w:val="28"/>
          <w:lang w:val="uk-UA"/>
        </w:rPr>
        <w:t xml:space="preserve">Податкова система: навчальний посібник / за </w:t>
      </w:r>
      <w:proofErr w:type="spellStart"/>
      <w:r>
        <w:rPr>
          <w:rFonts w:ascii="Times New Roman" w:hAnsi="Times New Roman" w:cs="Times New Roman"/>
          <w:sz w:val="28"/>
          <w:szCs w:val="28"/>
          <w:lang w:val="uk-UA"/>
        </w:rPr>
        <w:t>заг</w:t>
      </w:r>
      <w:proofErr w:type="spellEnd"/>
      <w:r>
        <w:rPr>
          <w:rFonts w:ascii="Times New Roman" w:hAnsi="Times New Roman" w:cs="Times New Roman"/>
          <w:sz w:val="28"/>
          <w:szCs w:val="28"/>
          <w:lang w:val="uk-UA"/>
        </w:rPr>
        <w:t xml:space="preserve">. ред. І. С. </w:t>
      </w:r>
      <w:proofErr w:type="spellStart"/>
      <w:r>
        <w:rPr>
          <w:rFonts w:ascii="Times New Roman" w:hAnsi="Times New Roman" w:cs="Times New Roman"/>
          <w:sz w:val="28"/>
          <w:szCs w:val="28"/>
          <w:lang w:val="uk-UA"/>
        </w:rPr>
        <w:t>Волохової</w:t>
      </w:r>
      <w:proofErr w:type="spellEnd"/>
      <w:r>
        <w:rPr>
          <w:rFonts w:ascii="Times New Roman" w:hAnsi="Times New Roman" w:cs="Times New Roman"/>
          <w:sz w:val="28"/>
          <w:szCs w:val="28"/>
          <w:lang w:val="uk-UA"/>
        </w:rPr>
        <w:t>, О. Ю. Дубовик. Харків: Видавництво «</w:t>
      </w:r>
      <w:proofErr w:type="spellStart"/>
      <w:r>
        <w:rPr>
          <w:rFonts w:ascii="Times New Roman" w:hAnsi="Times New Roman" w:cs="Times New Roman"/>
          <w:sz w:val="28"/>
          <w:szCs w:val="28"/>
          <w:lang w:val="uk-UA"/>
        </w:rPr>
        <w:t>Діса</w:t>
      </w:r>
      <w:proofErr w:type="spellEnd"/>
      <w:r>
        <w:rPr>
          <w:rFonts w:ascii="Times New Roman" w:hAnsi="Times New Roman" w:cs="Times New Roman"/>
          <w:sz w:val="28"/>
          <w:szCs w:val="28"/>
          <w:lang w:val="uk-UA"/>
        </w:rPr>
        <w:t xml:space="preserve"> плюс», 2019. 402 с.</w:t>
      </w:r>
    </w:p>
    <w:p w14:paraId="04904C9E"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Податковий кодекс України : Закон України від 02.12.10 р. № 2755-VІ. URL : https://zаkоn.rаdа.gоv.uа/lаws/shоw/2755-17#Tехt</w:t>
      </w:r>
    </w:p>
    <w:p w14:paraId="2ED7F3E2"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 збір та облік єдиного внеску на загальнообов’язкове державне соціальне страхування : Закон України від 08.07.10 р. №2464-ХІV. URL : https://zаkоn.rаdа.gоv.uа/lаws/shоw/2464-17#Tехt </w:t>
      </w:r>
    </w:p>
    <w:p w14:paraId="2DB3FE91"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Пшик Б. І., </w:t>
      </w:r>
      <w:proofErr w:type="spellStart"/>
      <w:r>
        <w:rPr>
          <w:rFonts w:ascii="Times New Roman" w:hAnsi="Times New Roman" w:cs="Times New Roman"/>
          <w:sz w:val="28"/>
          <w:szCs w:val="28"/>
          <w:lang w:val="uk-UA"/>
        </w:rPr>
        <w:t>Печенко</w:t>
      </w:r>
      <w:proofErr w:type="spellEnd"/>
      <w:r>
        <w:rPr>
          <w:rFonts w:ascii="Times New Roman" w:hAnsi="Times New Roman" w:cs="Times New Roman"/>
          <w:sz w:val="28"/>
          <w:szCs w:val="28"/>
          <w:lang w:val="uk-UA"/>
        </w:rPr>
        <w:t xml:space="preserve"> О. О. Актуальні проблеми розвитку банківської інвестиційної діяльності в Україні. URL : </w:t>
      </w:r>
      <w:hyperlink r:id="rId11" w:tooltip="http://nbuv.gov.ua/UJRN/Fkd_2014_2_5" w:history="1">
        <w:r>
          <w:rPr>
            <w:rStyle w:val="Hyperlink"/>
            <w:rFonts w:ascii="Times New Roman" w:hAnsi="Times New Roman" w:cs="Times New Roman"/>
            <w:color w:val="auto"/>
            <w:sz w:val="28"/>
            <w:szCs w:val="28"/>
            <w:u w:val="none"/>
            <w:lang w:val="uk-UA"/>
          </w:rPr>
          <w:t>http://nbuv.gоv.uа/UJRN/Fkd_2014_2_5</w:t>
        </w:r>
      </w:hyperlink>
      <w:r>
        <w:rPr>
          <w:rFonts w:ascii="Times New Roman" w:hAnsi="Times New Roman" w:cs="Times New Roman"/>
          <w:sz w:val="28"/>
          <w:szCs w:val="28"/>
          <w:lang w:val="uk-UA"/>
        </w:rPr>
        <w:t>.</w:t>
      </w:r>
    </w:p>
    <w:p w14:paraId="6D39D5DE"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Реверчук</w:t>
      </w:r>
      <w:proofErr w:type="spellEnd"/>
      <w:r>
        <w:rPr>
          <w:rFonts w:ascii="Times New Roman" w:hAnsi="Times New Roman" w:cs="Times New Roman"/>
          <w:sz w:val="28"/>
          <w:szCs w:val="28"/>
          <w:lang w:val="uk-UA"/>
        </w:rPr>
        <w:t xml:space="preserve"> Н. Й., Сербина О. Г. Зарубіжний досвід податкового регулювання банківської діяльності та його застосування в Україні. Вісник НЛТУ України. 2010.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18.5. С. 221–225.</w:t>
      </w:r>
    </w:p>
    <w:p w14:paraId="5ECE93A4"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Сенищ</w:t>
      </w:r>
      <w:proofErr w:type="spellEnd"/>
      <w:r>
        <w:rPr>
          <w:rFonts w:ascii="Times New Roman" w:hAnsi="Times New Roman" w:cs="Times New Roman"/>
          <w:sz w:val="28"/>
          <w:szCs w:val="28"/>
          <w:lang w:val="uk-UA"/>
        </w:rPr>
        <w:t xml:space="preserve"> П. М. Податкове стимулювання розвитку банківської діяльності в забезпеченні економічного зростання. Інститут бухгалтерського обліку, контроль та аналіз в умовах глобалізації. 2016.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4. С. 117–127.</w:t>
      </w:r>
    </w:p>
    <w:p w14:paraId="3602ED4B"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Сербина О. Г. Вплив оподаткування на дохідність і напрями розвитку банківської діяльності. Науковий вісник НЛТУ України. 2010.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20.4. С. 262-268.</w:t>
      </w:r>
    </w:p>
    <w:p w14:paraId="2956339C"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Сідельникова</w:t>
      </w:r>
      <w:proofErr w:type="spellEnd"/>
      <w:r>
        <w:rPr>
          <w:rFonts w:ascii="Times New Roman" w:hAnsi="Times New Roman" w:cs="Times New Roman"/>
          <w:sz w:val="28"/>
          <w:szCs w:val="28"/>
          <w:lang w:val="uk-UA"/>
        </w:rPr>
        <w:t xml:space="preserve"> Л. П. Податковий механізм у системі суспільних фінансів України. Фінансові інструменти сталого розвитку економіки : матеріали ІІІ міжнародної науково-практичної конференції (14 квітня 2021 р.). – Чернівці : Чернівецький </w:t>
      </w:r>
      <w:proofErr w:type="spellStart"/>
      <w:r>
        <w:rPr>
          <w:rFonts w:ascii="Times New Roman" w:hAnsi="Times New Roman" w:cs="Times New Roman"/>
          <w:sz w:val="28"/>
          <w:szCs w:val="28"/>
          <w:lang w:val="uk-UA"/>
        </w:rPr>
        <w:t>нац</w:t>
      </w:r>
      <w:proofErr w:type="spellEnd"/>
      <w:r>
        <w:rPr>
          <w:rFonts w:ascii="Times New Roman" w:hAnsi="Times New Roman" w:cs="Times New Roman"/>
          <w:sz w:val="28"/>
          <w:szCs w:val="28"/>
          <w:lang w:val="uk-UA"/>
        </w:rPr>
        <w:t>. ун-т, 2021. С. 66-69.</w:t>
      </w:r>
      <w:bookmarkEnd w:id="19"/>
    </w:p>
    <w:p w14:paraId="6B06A795" w14:textId="77777777" w:rsidR="00E02B19" w:rsidRDefault="00BC0B3D">
      <w:pPr>
        <w:pStyle w:val="ListParagraph"/>
        <w:numPr>
          <w:ilvl w:val="0"/>
          <w:numId w:val="11"/>
        </w:numPr>
        <w:spacing w:after="0" w:line="360" w:lineRule="auto"/>
        <w:ind w:left="0" w:firstLine="709"/>
        <w:jc w:val="both"/>
        <w:rPr>
          <w:rFonts w:ascii="Times New Roman" w:hAnsi="Times New Roman" w:cs="Times New Roman"/>
          <w:sz w:val="28"/>
          <w:szCs w:val="28"/>
          <w:shd w:val="clear" w:color="auto" w:fill="FFFFFF"/>
          <w:lang w:val="uk-UA"/>
        </w:rPr>
      </w:pPr>
      <w:proofErr w:type="spellStart"/>
      <w:r>
        <w:rPr>
          <w:rFonts w:ascii="Times New Roman" w:hAnsi="Times New Roman" w:cs="Times New Roman"/>
          <w:sz w:val="28"/>
          <w:szCs w:val="28"/>
          <w:shd w:val="clear" w:color="auto" w:fill="FFFFFF"/>
          <w:lang w:val="uk-UA"/>
        </w:rPr>
        <w:t>Старостенко</w:t>
      </w:r>
      <w:proofErr w:type="spellEnd"/>
      <w:r>
        <w:rPr>
          <w:rFonts w:ascii="Times New Roman" w:hAnsi="Times New Roman" w:cs="Times New Roman"/>
          <w:sz w:val="28"/>
          <w:szCs w:val="28"/>
          <w:shd w:val="clear" w:color="auto" w:fill="FFFFFF"/>
          <w:lang w:val="uk-UA"/>
        </w:rPr>
        <w:t xml:space="preserve"> Г. Г., </w:t>
      </w:r>
      <w:proofErr w:type="spellStart"/>
      <w:r>
        <w:rPr>
          <w:rFonts w:ascii="Times New Roman" w:hAnsi="Times New Roman" w:cs="Times New Roman"/>
          <w:sz w:val="28"/>
          <w:szCs w:val="28"/>
          <w:shd w:val="clear" w:color="auto" w:fill="FFFFFF"/>
          <w:lang w:val="uk-UA"/>
        </w:rPr>
        <w:t>Сурженко</w:t>
      </w:r>
      <w:proofErr w:type="spellEnd"/>
      <w:r>
        <w:rPr>
          <w:rFonts w:ascii="Times New Roman" w:hAnsi="Times New Roman" w:cs="Times New Roman"/>
          <w:sz w:val="28"/>
          <w:szCs w:val="28"/>
          <w:shd w:val="clear" w:color="auto" w:fill="FFFFFF"/>
          <w:lang w:val="uk-UA"/>
        </w:rPr>
        <w:t xml:space="preserve"> А. В. Податкове регулювання банків в умовах становлення інформаційного суспільства. Електронне наукове фахове видання «Ефективна економіка». URL: </w:t>
      </w:r>
      <w:hyperlink r:id="rId12" w:tooltip="http://www.economy.nayka.com.ua/" w:history="1">
        <w:r>
          <w:rPr>
            <w:rStyle w:val="Hyperlink"/>
            <w:rFonts w:ascii="Times New Roman" w:hAnsi="Times New Roman" w:cs="Times New Roman"/>
            <w:color w:val="auto"/>
            <w:sz w:val="28"/>
            <w:szCs w:val="28"/>
            <w:u w:val="none"/>
            <w:shd w:val="clear" w:color="auto" w:fill="FFFFFF"/>
            <w:lang w:val="uk-UA"/>
          </w:rPr>
          <w:t>http://www.есоnоmy.nаykа.соm.uа/</w:t>
        </w:r>
      </w:hyperlink>
    </w:p>
    <w:p w14:paraId="7957FD01" w14:textId="77777777" w:rsidR="00E02B19" w:rsidRDefault="00E02B19">
      <w:pPr>
        <w:spacing w:after="0" w:line="360" w:lineRule="auto"/>
        <w:ind w:firstLine="709"/>
        <w:jc w:val="both"/>
        <w:rPr>
          <w:lang w:val="uk-UA"/>
        </w:rPr>
      </w:pPr>
    </w:p>
    <w:p w14:paraId="3F92158F" w14:textId="77777777" w:rsidR="00E02B19" w:rsidRDefault="00E02B19">
      <w:pPr>
        <w:spacing w:after="0" w:line="360" w:lineRule="auto"/>
        <w:ind w:firstLine="709"/>
        <w:jc w:val="both"/>
        <w:rPr>
          <w:rFonts w:ascii="Times New Roman" w:hAnsi="Times New Roman" w:cs="Times New Roman"/>
          <w:sz w:val="28"/>
          <w:szCs w:val="28"/>
          <w:lang w:val="uk-UA"/>
        </w:rPr>
      </w:pPr>
    </w:p>
    <w:p w14:paraId="6251F513" w14:textId="77777777" w:rsidR="00E02B19" w:rsidRDefault="00BC0B3D">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D33C9D8" w14:textId="77777777" w:rsidR="00E02B19" w:rsidRDefault="00BC0B3D">
      <w:pPr>
        <w:pStyle w:val="Heading1"/>
        <w:spacing w:before="0" w:line="360" w:lineRule="auto"/>
        <w:jc w:val="center"/>
        <w:rPr>
          <w:rFonts w:ascii="Times New Roman" w:hAnsi="Times New Roman" w:cs="Times New Roman"/>
          <w:b/>
          <w:bCs/>
          <w:color w:val="auto"/>
          <w:sz w:val="28"/>
          <w:szCs w:val="28"/>
          <w:lang w:val="uk-UA"/>
        </w:rPr>
      </w:pPr>
      <w:bookmarkStart w:id="20" w:name="_Toc79333549"/>
      <w:bookmarkStart w:id="21" w:name="_Toc81597538"/>
      <w:bookmarkStart w:id="22" w:name="_Toc86527202"/>
      <w:r>
        <w:rPr>
          <w:rFonts w:ascii="Times New Roman" w:hAnsi="Times New Roman" w:cs="Times New Roman"/>
          <w:b/>
          <w:bCs/>
          <w:color w:val="auto"/>
          <w:sz w:val="28"/>
          <w:szCs w:val="28"/>
          <w:lang w:val="uk-UA"/>
        </w:rPr>
        <w:lastRenderedPageBreak/>
        <w:t>ДОДАТКИ</w:t>
      </w:r>
      <w:bookmarkEnd w:id="20"/>
      <w:bookmarkEnd w:id="21"/>
      <w:bookmarkEnd w:id="22"/>
    </w:p>
    <w:p w14:paraId="46D34B8B" w14:textId="77777777" w:rsidR="00E02B19" w:rsidRDefault="00E02B19">
      <w:pPr>
        <w:spacing w:after="0" w:line="360" w:lineRule="auto"/>
        <w:jc w:val="center"/>
        <w:rPr>
          <w:rFonts w:ascii="Times New Roman" w:hAnsi="Times New Roman" w:cs="Times New Roman"/>
          <w:sz w:val="28"/>
          <w:szCs w:val="28"/>
          <w:lang w:val="uk-UA"/>
        </w:rPr>
      </w:pPr>
    </w:p>
    <w:p w14:paraId="3305F8E0" w14:textId="77777777" w:rsidR="00E02B19" w:rsidRDefault="00BC0B3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14:paraId="07297A00" w14:textId="77777777" w:rsidR="00E02B19" w:rsidRDefault="00BC0B3D">
      <w:pPr>
        <w:spacing w:after="0" w:line="360" w:lineRule="auto"/>
        <w:jc w:val="center"/>
        <w:rPr>
          <w:rFonts w:ascii="Times New Roman" w:hAnsi="Times New Roman" w:cs="Times New Roman"/>
          <w:sz w:val="28"/>
          <w:szCs w:val="28"/>
          <w:lang w:val="uk-UA"/>
        </w:rPr>
      </w:pPr>
      <w:r>
        <w:rPr>
          <w:noProof/>
          <w:lang w:val="uk-UA"/>
        </w:rPr>
        <mc:AlternateContent>
          <mc:Choice Requires="wpg">
            <w:drawing>
              <wp:inline distT="0" distB="0" distL="0" distR="0" wp14:anchorId="08721487" wp14:editId="1B8A2B54">
                <wp:extent cx="4975321" cy="3251200"/>
                <wp:effectExtent l="0" t="0" r="0" b="635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13"/>
                        <a:srcRect l="32820" t="24587" r="15057" b="14861"/>
                        <a:stretch/>
                      </pic:blipFill>
                      <pic:spPr bwMode="auto">
                        <a:xfrm>
                          <a:off x="0" y="0"/>
                          <a:ext cx="4980169" cy="3254369"/>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391.8pt;height:256.0pt;" stroked="f">
                <v:path textboxrect="0,0,0,0"/>
                <v:imagedata r:id="rId22" o:title=""/>
              </v:shape>
            </w:pict>
          </mc:Fallback>
        </mc:AlternateContent>
      </w:r>
    </w:p>
    <w:p w14:paraId="5D3A168F" w14:textId="77777777" w:rsidR="00E02B19" w:rsidRDefault="00BC0B3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А.1. Операційні витрати ПАТ «Ощадбанк» за 2017-2018 рр., тис. грн</w:t>
      </w:r>
    </w:p>
    <w:p w14:paraId="18804D82" w14:textId="77777777" w:rsidR="00E02B19" w:rsidRDefault="00BC0B3D">
      <w:pPr>
        <w:spacing w:after="0" w:line="360" w:lineRule="auto"/>
        <w:jc w:val="center"/>
        <w:rPr>
          <w:rFonts w:ascii="Times New Roman" w:hAnsi="Times New Roman" w:cs="Times New Roman"/>
          <w:sz w:val="28"/>
          <w:szCs w:val="28"/>
          <w:lang w:val="uk-UA"/>
        </w:rPr>
      </w:pPr>
      <w:r>
        <w:rPr>
          <w:noProof/>
          <w:lang w:val="uk-UA"/>
        </w:rPr>
        <mc:AlternateContent>
          <mc:Choice Requires="wpg">
            <w:drawing>
              <wp:inline distT="0" distB="0" distL="0" distR="0" wp14:anchorId="1EACF668" wp14:editId="6C75B2CB">
                <wp:extent cx="5124027" cy="3022600"/>
                <wp:effectExtent l="0" t="0" r="635" b="635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23"/>
                        <a:srcRect l="37878" t="24037" r="7007" b="18165"/>
                        <a:stretch/>
                      </pic:blipFill>
                      <pic:spPr bwMode="auto">
                        <a:xfrm>
                          <a:off x="0" y="0"/>
                          <a:ext cx="5127812" cy="3024833"/>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03.5pt;height:238.0pt;" stroked="f">
                <v:path textboxrect="0,0,0,0"/>
                <v:imagedata r:id="rId24" o:title=""/>
              </v:shape>
            </w:pict>
          </mc:Fallback>
        </mc:AlternateContent>
      </w:r>
    </w:p>
    <w:p w14:paraId="0D2A3ABD" w14:textId="77777777" w:rsidR="00E02B19" w:rsidRDefault="00E02B19">
      <w:pPr>
        <w:spacing w:after="0" w:line="360" w:lineRule="auto"/>
        <w:jc w:val="center"/>
        <w:rPr>
          <w:rFonts w:ascii="Times New Roman" w:hAnsi="Times New Roman" w:cs="Times New Roman"/>
          <w:sz w:val="28"/>
          <w:szCs w:val="28"/>
          <w:lang w:val="uk-UA"/>
        </w:rPr>
      </w:pPr>
    </w:p>
    <w:p w14:paraId="281C1537" w14:textId="77777777" w:rsidR="00E02B19" w:rsidRDefault="00BC0B3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А.2. Операційні витрати ПАТ «Ощадбанк» за 2019-2020 рр., тис. грн</w:t>
      </w:r>
    </w:p>
    <w:p w14:paraId="5866AD6E" w14:textId="77777777" w:rsidR="00E02B19" w:rsidRDefault="00E02B19">
      <w:pPr>
        <w:spacing w:after="0" w:line="360" w:lineRule="auto"/>
        <w:rPr>
          <w:rFonts w:ascii="Times New Roman" w:hAnsi="Times New Roman" w:cs="Times New Roman"/>
          <w:sz w:val="28"/>
          <w:szCs w:val="28"/>
          <w:lang w:val="uk-UA"/>
        </w:rPr>
      </w:pPr>
    </w:p>
    <w:p w14:paraId="7618359E" w14:textId="77777777" w:rsidR="00E02B19" w:rsidRDefault="00BC0B3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14:paraId="19CDD461" w14:textId="77777777" w:rsidR="00E02B19" w:rsidRDefault="00BC0B3D">
      <w:pPr>
        <w:spacing w:after="0" w:line="360" w:lineRule="auto"/>
        <w:jc w:val="center"/>
        <w:rPr>
          <w:rFonts w:ascii="Times New Roman" w:hAnsi="Times New Roman" w:cs="Times New Roman"/>
          <w:sz w:val="28"/>
          <w:szCs w:val="28"/>
          <w:lang w:val="uk-UA"/>
        </w:rPr>
      </w:pPr>
      <w:r>
        <w:rPr>
          <w:noProof/>
          <w:lang w:val="uk-UA"/>
        </w:rPr>
        <mc:AlternateContent>
          <mc:Choice Requires="wpg">
            <w:drawing>
              <wp:inline distT="0" distB="0" distL="0" distR="0" wp14:anchorId="7A590CBB" wp14:editId="454A4CDB">
                <wp:extent cx="5125968" cy="225425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25"/>
                        <a:srcRect l="31169" t="46973" r="14852" b="10825"/>
                        <a:stretch/>
                      </pic:blipFill>
                      <pic:spPr bwMode="auto">
                        <a:xfrm>
                          <a:off x="0" y="0"/>
                          <a:ext cx="5129177" cy="2255661"/>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03.6pt;height:177.5pt;" stroked="f">
                <v:path textboxrect="0,0,0,0"/>
                <v:imagedata r:id="rId26" o:title=""/>
              </v:shape>
            </w:pict>
          </mc:Fallback>
        </mc:AlternateContent>
      </w:r>
    </w:p>
    <w:p w14:paraId="085948F6" w14:textId="77777777" w:rsidR="00E02B19" w:rsidRDefault="00BC0B3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Б.1. Звіт з податку на прибуток ПАТ «Ощадбанк» за 2017-2018 рр., тис. грн</w:t>
      </w:r>
    </w:p>
    <w:p w14:paraId="6450AFED" w14:textId="77777777" w:rsidR="00E02B19" w:rsidRDefault="00BC0B3D">
      <w:pPr>
        <w:spacing w:after="0" w:line="360" w:lineRule="auto"/>
        <w:jc w:val="center"/>
        <w:rPr>
          <w:rFonts w:ascii="Times New Roman" w:hAnsi="Times New Roman" w:cs="Times New Roman"/>
          <w:sz w:val="28"/>
          <w:szCs w:val="28"/>
          <w:lang w:val="uk-UA"/>
        </w:rPr>
      </w:pPr>
      <w:r>
        <w:rPr>
          <w:noProof/>
          <w:lang w:val="uk-UA"/>
        </w:rPr>
        <mc:AlternateContent>
          <mc:Choice Requires="wpg">
            <w:drawing>
              <wp:inline distT="0" distB="0" distL="0" distR="0" wp14:anchorId="4E734F31" wp14:editId="38B1D847">
                <wp:extent cx="5310406" cy="2044700"/>
                <wp:effectExtent l="0" t="0" r="508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27"/>
                        <a:srcRect l="37052" t="32476" r="6388" b="28807"/>
                        <a:stretch/>
                      </pic:blipFill>
                      <pic:spPr bwMode="auto">
                        <a:xfrm>
                          <a:off x="0" y="0"/>
                          <a:ext cx="5315236" cy="204656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18.1pt;height:161.0pt;" stroked="f">
                <v:path textboxrect="0,0,0,0"/>
                <v:imagedata r:id="rId28" o:title=""/>
              </v:shape>
            </w:pict>
          </mc:Fallback>
        </mc:AlternateContent>
      </w:r>
    </w:p>
    <w:p w14:paraId="0679F789" w14:textId="77777777" w:rsidR="00E02B19" w:rsidRDefault="00BC0B3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Б.2. Звіт з податку на прибуток ПАТ «Ощадбанк» за 2019-2020 рр., тис. грн</w:t>
      </w:r>
    </w:p>
    <w:p w14:paraId="1019ED7B" w14:textId="77777777" w:rsidR="00E02B19" w:rsidRDefault="00E02B19">
      <w:pPr>
        <w:spacing w:after="0" w:line="360" w:lineRule="auto"/>
        <w:jc w:val="both"/>
        <w:rPr>
          <w:rFonts w:ascii="Times New Roman" w:hAnsi="Times New Roman" w:cs="Times New Roman"/>
          <w:sz w:val="28"/>
          <w:szCs w:val="28"/>
          <w:lang w:val="uk-UA"/>
        </w:rPr>
      </w:pPr>
    </w:p>
    <w:p w14:paraId="4DB84FB0" w14:textId="77777777" w:rsidR="00E02B19" w:rsidRDefault="00E02B19">
      <w:pPr>
        <w:spacing w:after="0" w:line="360" w:lineRule="auto"/>
        <w:jc w:val="both"/>
        <w:rPr>
          <w:rFonts w:ascii="Times New Roman" w:hAnsi="Times New Roman" w:cs="Times New Roman"/>
          <w:sz w:val="28"/>
          <w:szCs w:val="28"/>
          <w:lang w:val="uk-UA"/>
        </w:rPr>
      </w:pPr>
    </w:p>
    <w:p w14:paraId="32D60222" w14:textId="77777777" w:rsidR="00E02B19" w:rsidRDefault="00E02B19">
      <w:pPr>
        <w:spacing w:after="0" w:line="360" w:lineRule="auto"/>
        <w:jc w:val="both"/>
        <w:rPr>
          <w:rFonts w:ascii="Times New Roman" w:hAnsi="Times New Roman" w:cs="Times New Roman"/>
          <w:sz w:val="28"/>
          <w:szCs w:val="28"/>
          <w:lang w:val="uk-UA"/>
        </w:rPr>
      </w:pPr>
    </w:p>
    <w:p w14:paraId="571C9B1B" w14:textId="77777777" w:rsidR="00E02B19" w:rsidRDefault="00E02B19">
      <w:pPr>
        <w:spacing w:after="0" w:line="360" w:lineRule="auto"/>
        <w:ind w:firstLine="709"/>
        <w:jc w:val="both"/>
        <w:rPr>
          <w:rFonts w:ascii="Times New Roman" w:hAnsi="Times New Roman" w:cs="Times New Roman"/>
          <w:sz w:val="28"/>
          <w:szCs w:val="28"/>
          <w:lang w:val="uk-UA"/>
        </w:rPr>
      </w:pPr>
    </w:p>
    <w:p w14:paraId="7F7742F5" w14:textId="77777777" w:rsidR="00E02B19" w:rsidRDefault="00E02B19">
      <w:pPr>
        <w:spacing w:after="0" w:line="360" w:lineRule="auto"/>
        <w:ind w:firstLine="709"/>
        <w:jc w:val="both"/>
        <w:rPr>
          <w:rFonts w:ascii="Times New Roman" w:hAnsi="Times New Roman" w:cs="Times New Roman"/>
          <w:sz w:val="28"/>
          <w:szCs w:val="28"/>
          <w:lang w:val="uk-UA"/>
        </w:rPr>
      </w:pPr>
    </w:p>
    <w:sectPr w:rsidR="00E02B19">
      <w:headerReference w:type="default" r:id="rId29"/>
      <w:pgSz w:w="12240" w:h="15840"/>
      <w:pgMar w:top="1134" w:right="850"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99E2E" w14:textId="77777777" w:rsidR="00F56757" w:rsidRDefault="00F56757">
      <w:pPr>
        <w:spacing w:after="0" w:line="240" w:lineRule="auto"/>
      </w:pPr>
      <w:r>
        <w:separator/>
      </w:r>
    </w:p>
  </w:endnote>
  <w:endnote w:type="continuationSeparator" w:id="0">
    <w:p w14:paraId="6841539F" w14:textId="77777777" w:rsidR="00F56757" w:rsidRDefault="00F56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44B82" w14:textId="77777777" w:rsidR="00F56757" w:rsidRDefault="00F56757">
      <w:pPr>
        <w:spacing w:after="0" w:line="240" w:lineRule="auto"/>
      </w:pPr>
      <w:r>
        <w:separator/>
      </w:r>
    </w:p>
  </w:footnote>
  <w:footnote w:type="continuationSeparator" w:id="0">
    <w:p w14:paraId="570D1245" w14:textId="77777777" w:rsidR="00F56757" w:rsidRDefault="00F56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970508"/>
      <w:docPartObj>
        <w:docPartGallery w:val="Page Numbers (Top of Page)"/>
        <w:docPartUnique/>
      </w:docPartObj>
    </w:sdtPr>
    <w:sdtContent>
      <w:p w14:paraId="42AB8D54" w14:textId="77777777" w:rsidR="00BC0B3D" w:rsidRDefault="00BC0B3D">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ru-RU"/>
          </w:rPr>
          <w:t>2</w:t>
        </w:r>
        <w:r>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D60DB"/>
    <w:multiLevelType w:val="hybridMultilevel"/>
    <w:tmpl w:val="F7AC131A"/>
    <w:lvl w:ilvl="0" w:tplc="474458C8">
      <w:start w:val="1"/>
      <w:numFmt w:val="bullet"/>
      <w:lvlText w:val=""/>
      <w:lvlJc w:val="left"/>
      <w:pPr>
        <w:ind w:left="1429" w:hanging="360"/>
      </w:pPr>
      <w:rPr>
        <w:rFonts w:ascii="Symbol" w:hAnsi="Symbol" w:hint="default"/>
      </w:rPr>
    </w:lvl>
    <w:lvl w:ilvl="1" w:tplc="7D8A770A">
      <w:start w:val="1"/>
      <w:numFmt w:val="bullet"/>
      <w:lvlText w:val="o"/>
      <w:lvlJc w:val="left"/>
      <w:pPr>
        <w:ind w:left="2149" w:hanging="360"/>
      </w:pPr>
      <w:rPr>
        <w:rFonts w:ascii="Courier New" w:hAnsi="Courier New" w:cs="Courier New" w:hint="default"/>
      </w:rPr>
    </w:lvl>
    <w:lvl w:ilvl="2" w:tplc="55B80356">
      <w:start w:val="1"/>
      <w:numFmt w:val="bullet"/>
      <w:lvlText w:val=""/>
      <w:lvlJc w:val="left"/>
      <w:pPr>
        <w:ind w:left="2869" w:hanging="360"/>
      </w:pPr>
      <w:rPr>
        <w:rFonts w:ascii="Wingdings" w:hAnsi="Wingdings" w:hint="default"/>
      </w:rPr>
    </w:lvl>
    <w:lvl w:ilvl="3" w:tplc="3AD0B9C4">
      <w:start w:val="1"/>
      <w:numFmt w:val="bullet"/>
      <w:lvlText w:val=""/>
      <w:lvlJc w:val="left"/>
      <w:pPr>
        <w:ind w:left="3589" w:hanging="360"/>
      </w:pPr>
      <w:rPr>
        <w:rFonts w:ascii="Symbol" w:hAnsi="Symbol" w:hint="default"/>
      </w:rPr>
    </w:lvl>
    <w:lvl w:ilvl="4" w:tplc="4CE2D930">
      <w:start w:val="1"/>
      <w:numFmt w:val="bullet"/>
      <w:lvlText w:val="o"/>
      <w:lvlJc w:val="left"/>
      <w:pPr>
        <w:ind w:left="4309" w:hanging="360"/>
      </w:pPr>
      <w:rPr>
        <w:rFonts w:ascii="Courier New" w:hAnsi="Courier New" w:cs="Courier New" w:hint="default"/>
      </w:rPr>
    </w:lvl>
    <w:lvl w:ilvl="5" w:tplc="9EBE54F8">
      <w:start w:val="1"/>
      <w:numFmt w:val="bullet"/>
      <w:lvlText w:val=""/>
      <w:lvlJc w:val="left"/>
      <w:pPr>
        <w:ind w:left="5029" w:hanging="360"/>
      </w:pPr>
      <w:rPr>
        <w:rFonts w:ascii="Wingdings" w:hAnsi="Wingdings" w:hint="default"/>
      </w:rPr>
    </w:lvl>
    <w:lvl w:ilvl="6" w:tplc="3410A4EC">
      <w:start w:val="1"/>
      <w:numFmt w:val="bullet"/>
      <w:lvlText w:val=""/>
      <w:lvlJc w:val="left"/>
      <w:pPr>
        <w:ind w:left="5749" w:hanging="360"/>
      </w:pPr>
      <w:rPr>
        <w:rFonts w:ascii="Symbol" w:hAnsi="Symbol" w:hint="default"/>
      </w:rPr>
    </w:lvl>
    <w:lvl w:ilvl="7" w:tplc="78C813A2">
      <w:start w:val="1"/>
      <w:numFmt w:val="bullet"/>
      <w:lvlText w:val="o"/>
      <w:lvlJc w:val="left"/>
      <w:pPr>
        <w:ind w:left="6469" w:hanging="360"/>
      </w:pPr>
      <w:rPr>
        <w:rFonts w:ascii="Courier New" w:hAnsi="Courier New" w:cs="Courier New" w:hint="default"/>
      </w:rPr>
    </w:lvl>
    <w:lvl w:ilvl="8" w:tplc="9B42E1E2">
      <w:start w:val="1"/>
      <w:numFmt w:val="bullet"/>
      <w:lvlText w:val=""/>
      <w:lvlJc w:val="left"/>
      <w:pPr>
        <w:ind w:left="7189" w:hanging="360"/>
      </w:pPr>
      <w:rPr>
        <w:rFonts w:ascii="Wingdings" w:hAnsi="Wingdings" w:hint="default"/>
      </w:rPr>
    </w:lvl>
  </w:abstractNum>
  <w:abstractNum w:abstractNumId="1" w15:restartNumberingAfterBreak="0">
    <w:nsid w:val="16711C8D"/>
    <w:multiLevelType w:val="hybridMultilevel"/>
    <w:tmpl w:val="29BC95B8"/>
    <w:lvl w:ilvl="0" w:tplc="5E0C5A2C">
      <w:start w:val="1"/>
      <w:numFmt w:val="bullet"/>
      <w:lvlText w:val=""/>
      <w:lvlJc w:val="left"/>
      <w:pPr>
        <w:ind w:left="1429" w:hanging="360"/>
      </w:pPr>
      <w:rPr>
        <w:rFonts w:ascii="Symbol" w:hAnsi="Symbol" w:hint="default"/>
      </w:rPr>
    </w:lvl>
    <w:lvl w:ilvl="1" w:tplc="C1880B62">
      <w:start w:val="1"/>
      <w:numFmt w:val="bullet"/>
      <w:lvlText w:val="o"/>
      <w:lvlJc w:val="left"/>
      <w:pPr>
        <w:ind w:left="2149" w:hanging="360"/>
      </w:pPr>
      <w:rPr>
        <w:rFonts w:ascii="Courier New" w:hAnsi="Courier New" w:cs="Courier New" w:hint="default"/>
      </w:rPr>
    </w:lvl>
    <w:lvl w:ilvl="2" w:tplc="EDF6A62E">
      <w:start w:val="1"/>
      <w:numFmt w:val="bullet"/>
      <w:lvlText w:val=""/>
      <w:lvlJc w:val="left"/>
      <w:pPr>
        <w:ind w:left="2869" w:hanging="360"/>
      </w:pPr>
      <w:rPr>
        <w:rFonts w:ascii="Wingdings" w:hAnsi="Wingdings" w:hint="default"/>
      </w:rPr>
    </w:lvl>
    <w:lvl w:ilvl="3" w:tplc="D7B03E08">
      <w:start w:val="1"/>
      <w:numFmt w:val="bullet"/>
      <w:lvlText w:val=""/>
      <w:lvlJc w:val="left"/>
      <w:pPr>
        <w:ind w:left="3589" w:hanging="360"/>
      </w:pPr>
      <w:rPr>
        <w:rFonts w:ascii="Symbol" w:hAnsi="Symbol" w:hint="default"/>
      </w:rPr>
    </w:lvl>
    <w:lvl w:ilvl="4" w:tplc="1E3C4AE2">
      <w:start w:val="1"/>
      <w:numFmt w:val="bullet"/>
      <w:lvlText w:val="o"/>
      <w:lvlJc w:val="left"/>
      <w:pPr>
        <w:ind w:left="4309" w:hanging="360"/>
      </w:pPr>
      <w:rPr>
        <w:rFonts w:ascii="Courier New" w:hAnsi="Courier New" w:cs="Courier New" w:hint="default"/>
      </w:rPr>
    </w:lvl>
    <w:lvl w:ilvl="5" w:tplc="38E2A586">
      <w:start w:val="1"/>
      <w:numFmt w:val="bullet"/>
      <w:lvlText w:val=""/>
      <w:lvlJc w:val="left"/>
      <w:pPr>
        <w:ind w:left="5029" w:hanging="360"/>
      </w:pPr>
      <w:rPr>
        <w:rFonts w:ascii="Wingdings" w:hAnsi="Wingdings" w:hint="default"/>
      </w:rPr>
    </w:lvl>
    <w:lvl w:ilvl="6" w:tplc="71BCC758">
      <w:start w:val="1"/>
      <w:numFmt w:val="bullet"/>
      <w:lvlText w:val=""/>
      <w:lvlJc w:val="left"/>
      <w:pPr>
        <w:ind w:left="5749" w:hanging="360"/>
      </w:pPr>
      <w:rPr>
        <w:rFonts w:ascii="Symbol" w:hAnsi="Symbol" w:hint="default"/>
      </w:rPr>
    </w:lvl>
    <w:lvl w:ilvl="7" w:tplc="1D4C5E14">
      <w:start w:val="1"/>
      <w:numFmt w:val="bullet"/>
      <w:lvlText w:val="o"/>
      <w:lvlJc w:val="left"/>
      <w:pPr>
        <w:ind w:left="6469" w:hanging="360"/>
      </w:pPr>
      <w:rPr>
        <w:rFonts w:ascii="Courier New" w:hAnsi="Courier New" w:cs="Courier New" w:hint="default"/>
      </w:rPr>
    </w:lvl>
    <w:lvl w:ilvl="8" w:tplc="C02E44CC">
      <w:start w:val="1"/>
      <w:numFmt w:val="bullet"/>
      <w:lvlText w:val=""/>
      <w:lvlJc w:val="left"/>
      <w:pPr>
        <w:ind w:left="7189" w:hanging="360"/>
      </w:pPr>
      <w:rPr>
        <w:rFonts w:ascii="Wingdings" w:hAnsi="Wingdings" w:hint="default"/>
      </w:rPr>
    </w:lvl>
  </w:abstractNum>
  <w:abstractNum w:abstractNumId="2" w15:restartNumberingAfterBreak="0">
    <w:nsid w:val="169C0271"/>
    <w:multiLevelType w:val="hybridMultilevel"/>
    <w:tmpl w:val="C750DFB6"/>
    <w:lvl w:ilvl="0" w:tplc="C8588374">
      <w:start w:val="1"/>
      <w:numFmt w:val="bullet"/>
      <w:lvlText w:val=""/>
      <w:lvlJc w:val="left"/>
      <w:pPr>
        <w:ind w:left="1429" w:hanging="360"/>
      </w:pPr>
      <w:rPr>
        <w:rFonts w:ascii="Symbol" w:hAnsi="Symbol" w:hint="default"/>
      </w:rPr>
    </w:lvl>
    <w:lvl w:ilvl="1" w:tplc="87F4FAFA">
      <w:start w:val="1"/>
      <w:numFmt w:val="bullet"/>
      <w:lvlText w:val="o"/>
      <w:lvlJc w:val="left"/>
      <w:pPr>
        <w:ind w:left="2149" w:hanging="360"/>
      </w:pPr>
      <w:rPr>
        <w:rFonts w:ascii="Courier New" w:hAnsi="Courier New" w:cs="Courier New" w:hint="default"/>
      </w:rPr>
    </w:lvl>
    <w:lvl w:ilvl="2" w:tplc="FC38ABFE">
      <w:start w:val="1"/>
      <w:numFmt w:val="bullet"/>
      <w:lvlText w:val=""/>
      <w:lvlJc w:val="left"/>
      <w:pPr>
        <w:ind w:left="2869" w:hanging="360"/>
      </w:pPr>
      <w:rPr>
        <w:rFonts w:ascii="Wingdings" w:hAnsi="Wingdings" w:hint="default"/>
      </w:rPr>
    </w:lvl>
    <w:lvl w:ilvl="3" w:tplc="D632DE86">
      <w:start w:val="1"/>
      <w:numFmt w:val="bullet"/>
      <w:lvlText w:val=""/>
      <w:lvlJc w:val="left"/>
      <w:pPr>
        <w:ind w:left="3589" w:hanging="360"/>
      </w:pPr>
      <w:rPr>
        <w:rFonts w:ascii="Symbol" w:hAnsi="Symbol" w:hint="default"/>
      </w:rPr>
    </w:lvl>
    <w:lvl w:ilvl="4" w:tplc="43908200">
      <w:start w:val="1"/>
      <w:numFmt w:val="bullet"/>
      <w:lvlText w:val="o"/>
      <w:lvlJc w:val="left"/>
      <w:pPr>
        <w:ind w:left="4309" w:hanging="360"/>
      </w:pPr>
      <w:rPr>
        <w:rFonts w:ascii="Courier New" w:hAnsi="Courier New" w:cs="Courier New" w:hint="default"/>
      </w:rPr>
    </w:lvl>
    <w:lvl w:ilvl="5" w:tplc="D35E3844">
      <w:start w:val="1"/>
      <w:numFmt w:val="bullet"/>
      <w:lvlText w:val=""/>
      <w:lvlJc w:val="left"/>
      <w:pPr>
        <w:ind w:left="5029" w:hanging="360"/>
      </w:pPr>
      <w:rPr>
        <w:rFonts w:ascii="Wingdings" w:hAnsi="Wingdings" w:hint="default"/>
      </w:rPr>
    </w:lvl>
    <w:lvl w:ilvl="6" w:tplc="1A00EABE">
      <w:start w:val="1"/>
      <w:numFmt w:val="bullet"/>
      <w:lvlText w:val=""/>
      <w:lvlJc w:val="left"/>
      <w:pPr>
        <w:ind w:left="5749" w:hanging="360"/>
      </w:pPr>
      <w:rPr>
        <w:rFonts w:ascii="Symbol" w:hAnsi="Symbol" w:hint="default"/>
      </w:rPr>
    </w:lvl>
    <w:lvl w:ilvl="7" w:tplc="F9A4C446">
      <w:start w:val="1"/>
      <w:numFmt w:val="bullet"/>
      <w:lvlText w:val="o"/>
      <w:lvlJc w:val="left"/>
      <w:pPr>
        <w:ind w:left="6469" w:hanging="360"/>
      </w:pPr>
      <w:rPr>
        <w:rFonts w:ascii="Courier New" w:hAnsi="Courier New" w:cs="Courier New" w:hint="default"/>
      </w:rPr>
    </w:lvl>
    <w:lvl w:ilvl="8" w:tplc="37AC0DDE">
      <w:start w:val="1"/>
      <w:numFmt w:val="bullet"/>
      <w:lvlText w:val=""/>
      <w:lvlJc w:val="left"/>
      <w:pPr>
        <w:ind w:left="7189" w:hanging="360"/>
      </w:pPr>
      <w:rPr>
        <w:rFonts w:ascii="Wingdings" w:hAnsi="Wingdings" w:hint="default"/>
      </w:rPr>
    </w:lvl>
  </w:abstractNum>
  <w:abstractNum w:abstractNumId="3" w15:restartNumberingAfterBreak="0">
    <w:nsid w:val="1B6D5AE8"/>
    <w:multiLevelType w:val="hybridMultilevel"/>
    <w:tmpl w:val="50F05E2E"/>
    <w:lvl w:ilvl="0" w:tplc="418AC5E4">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BA369EC"/>
    <w:multiLevelType w:val="hybridMultilevel"/>
    <w:tmpl w:val="B5DADC7A"/>
    <w:lvl w:ilvl="0" w:tplc="AF7CD6BE">
      <w:start w:val="1"/>
      <w:numFmt w:val="bullet"/>
      <w:lvlText w:val=""/>
      <w:lvlJc w:val="left"/>
      <w:pPr>
        <w:ind w:left="1429" w:hanging="360"/>
      </w:pPr>
      <w:rPr>
        <w:rFonts w:ascii="Symbol" w:hAnsi="Symbol" w:hint="default"/>
      </w:rPr>
    </w:lvl>
    <w:lvl w:ilvl="1" w:tplc="F19A5714">
      <w:start w:val="1"/>
      <w:numFmt w:val="bullet"/>
      <w:lvlText w:val="o"/>
      <w:lvlJc w:val="left"/>
      <w:pPr>
        <w:ind w:left="2149" w:hanging="360"/>
      </w:pPr>
      <w:rPr>
        <w:rFonts w:ascii="Courier New" w:hAnsi="Courier New" w:cs="Courier New" w:hint="default"/>
      </w:rPr>
    </w:lvl>
    <w:lvl w:ilvl="2" w:tplc="29064E92">
      <w:start w:val="1"/>
      <w:numFmt w:val="bullet"/>
      <w:lvlText w:val=""/>
      <w:lvlJc w:val="left"/>
      <w:pPr>
        <w:ind w:left="2869" w:hanging="360"/>
      </w:pPr>
      <w:rPr>
        <w:rFonts w:ascii="Wingdings" w:hAnsi="Wingdings" w:hint="default"/>
      </w:rPr>
    </w:lvl>
    <w:lvl w:ilvl="3" w:tplc="A8ECF1DA">
      <w:start w:val="1"/>
      <w:numFmt w:val="bullet"/>
      <w:lvlText w:val=""/>
      <w:lvlJc w:val="left"/>
      <w:pPr>
        <w:ind w:left="3589" w:hanging="360"/>
      </w:pPr>
      <w:rPr>
        <w:rFonts w:ascii="Symbol" w:hAnsi="Symbol" w:hint="default"/>
      </w:rPr>
    </w:lvl>
    <w:lvl w:ilvl="4" w:tplc="E9EEF87E">
      <w:start w:val="1"/>
      <w:numFmt w:val="bullet"/>
      <w:lvlText w:val="o"/>
      <w:lvlJc w:val="left"/>
      <w:pPr>
        <w:ind w:left="4309" w:hanging="360"/>
      </w:pPr>
      <w:rPr>
        <w:rFonts w:ascii="Courier New" w:hAnsi="Courier New" w:cs="Courier New" w:hint="default"/>
      </w:rPr>
    </w:lvl>
    <w:lvl w:ilvl="5" w:tplc="883CE93E">
      <w:start w:val="1"/>
      <w:numFmt w:val="bullet"/>
      <w:lvlText w:val=""/>
      <w:lvlJc w:val="left"/>
      <w:pPr>
        <w:ind w:left="5029" w:hanging="360"/>
      </w:pPr>
      <w:rPr>
        <w:rFonts w:ascii="Wingdings" w:hAnsi="Wingdings" w:hint="default"/>
      </w:rPr>
    </w:lvl>
    <w:lvl w:ilvl="6" w:tplc="B4C808CE">
      <w:start w:val="1"/>
      <w:numFmt w:val="bullet"/>
      <w:lvlText w:val=""/>
      <w:lvlJc w:val="left"/>
      <w:pPr>
        <w:ind w:left="5749" w:hanging="360"/>
      </w:pPr>
      <w:rPr>
        <w:rFonts w:ascii="Symbol" w:hAnsi="Symbol" w:hint="default"/>
      </w:rPr>
    </w:lvl>
    <w:lvl w:ilvl="7" w:tplc="4568386E">
      <w:start w:val="1"/>
      <w:numFmt w:val="bullet"/>
      <w:lvlText w:val="o"/>
      <w:lvlJc w:val="left"/>
      <w:pPr>
        <w:ind w:left="6469" w:hanging="360"/>
      </w:pPr>
      <w:rPr>
        <w:rFonts w:ascii="Courier New" w:hAnsi="Courier New" w:cs="Courier New" w:hint="default"/>
      </w:rPr>
    </w:lvl>
    <w:lvl w:ilvl="8" w:tplc="4AF4DDAA">
      <w:start w:val="1"/>
      <w:numFmt w:val="bullet"/>
      <w:lvlText w:val=""/>
      <w:lvlJc w:val="left"/>
      <w:pPr>
        <w:ind w:left="7189" w:hanging="360"/>
      </w:pPr>
      <w:rPr>
        <w:rFonts w:ascii="Wingdings" w:hAnsi="Wingdings" w:hint="default"/>
      </w:rPr>
    </w:lvl>
  </w:abstractNum>
  <w:abstractNum w:abstractNumId="5" w15:restartNumberingAfterBreak="0">
    <w:nsid w:val="26996830"/>
    <w:multiLevelType w:val="hybridMultilevel"/>
    <w:tmpl w:val="701086A8"/>
    <w:lvl w:ilvl="0" w:tplc="5AC6F97A">
      <w:start w:val="1"/>
      <w:numFmt w:val="decimal"/>
      <w:lvlText w:val="%1."/>
      <w:lvlJc w:val="left"/>
      <w:pPr>
        <w:ind w:left="1429" w:hanging="360"/>
      </w:pPr>
    </w:lvl>
    <w:lvl w:ilvl="1" w:tplc="5AE6B4E0">
      <w:start w:val="1"/>
      <w:numFmt w:val="lowerLetter"/>
      <w:lvlText w:val="%2."/>
      <w:lvlJc w:val="left"/>
      <w:pPr>
        <w:ind w:left="2149" w:hanging="360"/>
      </w:pPr>
    </w:lvl>
    <w:lvl w:ilvl="2" w:tplc="6F9A0A3E">
      <w:start w:val="1"/>
      <w:numFmt w:val="lowerRoman"/>
      <w:lvlText w:val="%3."/>
      <w:lvlJc w:val="right"/>
      <w:pPr>
        <w:ind w:left="2869" w:hanging="180"/>
      </w:pPr>
    </w:lvl>
    <w:lvl w:ilvl="3" w:tplc="50D43824">
      <w:start w:val="1"/>
      <w:numFmt w:val="decimal"/>
      <w:lvlText w:val="%4."/>
      <w:lvlJc w:val="left"/>
      <w:pPr>
        <w:ind w:left="3589" w:hanging="360"/>
      </w:pPr>
    </w:lvl>
    <w:lvl w:ilvl="4" w:tplc="3B30298A">
      <w:start w:val="1"/>
      <w:numFmt w:val="lowerLetter"/>
      <w:lvlText w:val="%5."/>
      <w:lvlJc w:val="left"/>
      <w:pPr>
        <w:ind w:left="4309" w:hanging="360"/>
      </w:pPr>
    </w:lvl>
    <w:lvl w:ilvl="5" w:tplc="0C1E54D0">
      <w:start w:val="1"/>
      <w:numFmt w:val="lowerRoman"/>
      <w:lvlText w:val="%6."/>
      <w:lvlJc w:val="right"/>
      <w:pPr>
        <w:ind w:left="5029" w:hanging="180"/>
      </w:pPr>
    </w:lvl>
    <w:lvl w:ilvl="6" w:tplc="42FC105C">
      <w:start w:val="1"/>
      <w:numFmt w:val="decimal"/>
      <w:lvlText w:val="%7."/>
      <w:lvlJc w:val="left"/>
      <w:pPr>
        <w:ind w:left="5749" w:hanging="360"/>
      </w:pPr>
    </w:lvl>
    <w:lvl w:ilvl="7" w:tplc="D57EFAF4">
      <w:start w:val="1"/>
      <w:numFmt w:val="lowerLetter"/>
      <w:lvlText w:val="%8."/>
      <w:lvlJc w:val="left"/>
      <w:pPr>
        <w:ind w:left="6469" w:hanging="360"/>
      </w:pPr>
    </w:lvl>
    <w:lvl w:ilvl="8" w:tplc="2A98666E">
      <w:start w:val="1"/>
      <w:numFmt w:val="lowerRoman"/>
      <w:lvlText w:val="%9."/>
      <w:lvlJc w:val="right"/>
      <w:pPr>
        <w:ind w:left="7189" w:hanging="180"/>
      </w:pPr>
    </w:lvl>
  </w:abstractNum>
  <w:abstractNum w:abstractNumId="6" w15:restartNumberingAfterBreak="0">
    <w:nsid w:val="2EE54591"/>
    <w:multiLevelType w:val="hybridMultilevel"/>
    <w:tmpl w:val="387EB53E"/>
    <w:lvl w:ilvl="0" w:tplc="9CF4C4E4">
      <w:start w:val="1"/>
      <w:numFmt w:val="bullet"/>
      <w:lvlText w:val=""/>
      <w:lvlJc w:val="left"/>
      <w:pPr>
        <w:ind w:left="1429" w:hanging="360"/>
      </w:pPr>
      <w:rPr>
        <w:rFonts w:ascii="Symbol" w:hAnsi="Symbol" w:hint="default"/>
      </w:rPr>
    </w:lvl>
    <w:lvl w:ilvl="1" w:tplc="11F2C0B2">
      <w:start w:val="1"/>
      <w:numFmt w:val="bullet"/>
      <w:lvlText w:val="o"/>
      <w:lvlJc w:val="left"/>
      <w:pPr>
        <w:ind w:left="2149" w:hanging="360"/>
      </w:pPr>
      <w:rPr>
        <w:rFonts w:ascii="Courier New" w:hAnsi="Courier New" w:cs="Courier New" w:hint="default"/>
      </w:rPr>
    </w:lvl>
    <w:lvl w:ilvl="2" w:tplc="FB9AE3E4">
      <w:start w:val="1"/>
      <w:numFmt w:val="bullet"/>
      <w:lvlText w:val=""/>
      <w:lvlJc w:val="left"/>
      <w:pPr>
        <w:ind w:left="2869" w:hanging="360"/>
      </w:pPr>
      <w:rPr>
        <w:rFonts w:ascii="Wingdings" w:hAnsi="Wingdings" w:hint="default"/>
      </w:rPr>
    </w:lvl>
    <w:lvl w:ilvl="3" w:tplc="316C6CD8">
      <w:start w:val="1"/>
      <w:numFmt w:val="bullet"/>
      <w:lvlText w:val=""/>
      <w:lvlJc w:val="left"/>
      <w:pPr>
        <w:ind w:left="3589" w:hanging="360"/>
      </w:pPr>
      <w:rPr>
        <w:rFonts w:ascii="Symbol" w:hAnsi="Symbol" w:hint="default"/>
      </w:rPr>
    </w:lvl>
    <w:lvl w:ilvl="4" w:tplc="1EDE7D54">
      <w:start w:val="1"/>
      <w:numFmt w:val="bullet"/>
      <w:lvlText w:val="o"/>
      <w:lvlJc w:val="left"/>
      <w:pPr>
        <w:ind w:left="4309" w:hanging="360"/>
      </w:pPr>
      <w:rPr>
        <w:rFonts w:ascii="Courier New" w:hAnsi="Courier New" w:cs="Courier New" w:hint="default"/>
      </w:rPr>
    </w:lvl>
    <w:lvl w:ilvl="5" w:tplc="8F5C4AFC">
      <w:start w:val="1"/>
      <w:numFmt w:val="bullet"/>
      <w:lvlText w:val=""/>
      <w:lvlJc w:val="left"/>
      <w:pPr>
        <w:ind w:left="5029" w:hanging="360"/>
      </w:pPr>
      <w:rPr>
        <w:rFonts w:ascii="Wingdings" w:hAnsi="Wingdings" w:hint="default"/>
      </w:rPr>
    </w:lvl>
    <w:lvl w:ilvl="6" w:tplc="2792656C">
      <w:start w:val="1"/>
      <w:numFmt w:val="bullet"/>
      <w:lvlText w:val=""/>
      <w:lvlJc w:val="left"/>
      <w:pPr>
        <w:ind w:left="5749" w:hanging="360"/>
      </w:pPr>
      <w:rPr>
        <w:rFonts w:ascii="Symbol" w:hAnsi="Symbol" w:hint="default"/>
      </w:rPr>
    </w:lvl>
    <w:lvl w:ilvl="7" w:tplc="740EA5CC">
      <w:start w:val="1"/>
      <w:numFmt w:val="bullet"/>
      <w:lvlText w:val="o"/>
      <w:lvlJc w:val="left"/>
      <w:pPr>
        <w:ind w:left="6469" w:hanging="360"/>
      </w:pPr>
      <w:rPr>
        <w:rFonts w:ascii="Courier New" w:hAnsi="Courier New" w:cs="Courier New" w:hint="default"/>
      </w:rPr>
    </w:lvl>
    <w:lvl w:ilvl="8" w:tplc="F74E2542">
      <w:start w:val="1"/>
      <w:numFmt w:val="bullet"/>
      <w:lvlText w:val=""/>
      <w:lvlJc w:val="left"/>
      <w:pPr>
        <w:ind w:left="7189" w:hanging="360"/>
      </w:pPr>
      <w:rPr>
        <w:rFonts w:ascii="Wingdings" w:hAnsi="Wingdings" w:hint="default"/>
      </w:rPr>
    </w:lvl>
  </w:abstractNum>
  <w:abstractNum w:abstractNumId="7" w15:restartNumberingAfterBreak="0">
    <w:nsid w:val="41BA2D08"/>
    <w:multiLevelType w:val="hybridMultilevel"/>
    <w:tmpl w:val="76C85A7A"/>
    <w:lvl w:ilvl="0" w:tplc="94C2784E">
      <w:start w:val="40"/>
      <w:numFmt w:val="bullet"/>
      <w:lvlText w:val="̶"/>
      <w:lvlJc w:val="left"/>
      <w:pPr>
        <w:ind w:left="1429" w:hanging="360"/>
      </w:pPr>
      <w:rPr>
        <w:rFonts w:ascii="Times New Roman" w:eastAsia="Times New Roman" w:hAnsi="Times New Roman" w:cs="Times New Roman" w:hint="default"/>
      </w:rPr>
    </w:lvl>
    <w:lvl w:ilvl="1" w:tplc="D354BCC8">
      <w:start w:val="1"/>
      <w:numFmt w:val="bullet"/>
      <w:lvlText w:val="o"/>
      <w:lvlJc w:val="left"/>
      <w:pPr>
        <w:ind w:left="2149" w:hanging="360"/>
      </w:pPr>
      <w:rPr>
        <w:rFonts w:ascii="Courier New" w:hAnsi="Courier New" w:cs="Courier New" w:hint="default"/>
      </w:rPr>
    </w:lvl>
    <w:lvl w:ilvl="2" w:tplc="C1DC89B6">
      <w:start w:val="1"/>
      <w:numFmt w:val="bullet"/>
      <w:lvlText w:val=""/>
      <w:lvlJc w:val="left"/>
      <w:pPr>
        <w:ind w:left="2869" w:hanging="360"/>
      </w:pPr>
      <w:rPr>
        <w:rFonts w:ascii="Wingdings" w:hAnsi="Wingdings" w:hint="default"/>
      </w:rPr>
    </w:lvl>
    <w:lvl w:ilvl="3" w:tplc="A4806B22">
      <w:start w:val="1"/>
      <w:numFmt w:val="bullet"/>
      <w:lvlText w:val=""/>
      <w:lvlJc w:val="left"/>
      <w:pPr>
        <w:ind w:left="3589" w:hanging="360"/>
      </w:pPr>
      <w:rPr>
        <w:rFonts w:ascii="Symbol" w:hAnsi="Symbol" w:hint="default"/>
      </w:rPr>
    </w:lvl>
    <w:lvl w:ilvl="4" w:tplc="8A80BAA2">
      <w:start w:val="1"/>
      <w:numFmt w:val="bullet"/>
      <w:lvlText w:val="o"/>
      <w:lvlJc w:val="left"/>
      <w:pPr>
        <w:ind w:left="4309" w:hanging="360"/>
      </w:pPr>
      <w:rPr>
        <w:rFonts w:ascii="Courier New" w:hAnsi="Courier New" w:cs="Courier New" w:hint="default"/>
      </w:rPr>
    </w:lvl>
    <w:lvl w:ilvl="5" w:tplc="925ECB72">
      <w:start w:val="1"/>
      <w:numFmt w:val="bullet"/>
      <w:lvlText w:val=""/>
      <w:lvlJc w:val="left"/>
      <w:pPr>
        <w:ind w:left="5029" w:hanging="360"/>
      </w:pPr>
      <w:rPr>
        <w:rFonts w:ascii="Wingdings" w:hAnsi="Wingdings" w:hint="default"/>
      </w:rPr>
    </w:lvl>
    <w:lvl w:ilvl="6" w:tplc="87E2633E">
      <w:start w:val="1"/>
      <w:numFmt w:val="bullet"/>
      <w:lvlText w:val=""/>
      <w:lvlJc w:val="left"/>
      <w:pPr>
        <w:ind w:left="5749" w:hanging="360"/>
      </w:pPr>
      <w:rPr>
        <w:rFonts w:ascii="Symbol" w:hAnsi="Symbol" w:hint="default"/>
      </w:rPr>
    </w:lvl>
    <w:lvl w:ilvl="7" w:tplc="971C79D8">
      <w:start w:val="1"/>
      <w:numFmt w:val="bullet"/>
      <w:lvlText w:val="o"/>
      <w:lvlJc w:val="left"/>
      <w:pPr>
        <w:ind w:left="6469" w:hanging="360"/>
      </w:pPr>
      <w:rPr>
        <w:rFonts w:ascii="Courier New" w:hAnsi="Courier New" w:cs="Courier New" w:hint="default"/>
      </w:rPr>
    </w:lvl>
    <w:lvl w:ilvl="8" w:tplc="C308B288">
      <w:start w:val="1"/>
      <w:numFmt w:val="bullet"/>
      <w:lvlText w:val=""/>
      <w:lvlJc w:val="left"/>
      <w:pPr>
        <w:ind w:left="7189" w:hanging="360"/>
      </w:pPr>
      <w:rPr>
        <w:rFonts w:ascii="Wingdings" w:hAnsi="Wingdings" w:hint="default"/>
      </w:rPr>
    </w:lvl>
  </w:abstractNum>
  <w:abstractNum w:abstractNumId="8" w15:restartNumberingAfterBreak="0">
    <w:nsid w:val="4F651CD1"/>
    <w:multiLevelType w:val="hybridMultilevel"/>
    <w:tmpl w:val="74C08F78"/>
    <w:lvl w:ilvl="0" w:tplc="820EC03C">
      <w:start w:val="1"/>
      <w:numFmt w:val="bullet"/>
      <w:lvlText w:val=""/>
      <w:lvlJc w:val="left"/>
      <w:pPr>
        <w:ind w:left="1429" w:hanging="360"/>
      </w:pPr>
      <w:rPr>
        <w:rFonts w:ascii="Symbol" w:hAnsi="Symbol" w:hint="default"/>
      </w:rPr>
    </w:lvl>
    <w:lvl w:ilvl="1" w:tplc="3586DA4C">
      <w:start w:val="1"/>
      <w:numFmt w:val="bullet"/>
      <w:lvlText w:val="o"/>
      <w:lvlJc w:val="left"/>
      <w:pPr>
        <w:ind w:left="2149" w:hanging="360"/>
      </w:pPr>
      <w:rPr>
        <w:rFonts w:ascii="Courier New" w:hAnsi="Courier New" w:cs="Courier New" w:hint="default"/>
      </w:rPr>
    </w:lvl>
    <w:lvl w:ilvl="2" w:tplc="341C99DC">
      <w:start w:val="1"/>
      <w:numFmt w:val="bullet"/>
      <w:lvlText w:val=""/>
      <w:lvlJc w:val="left"/>
      <w:pPr>
        <w:ind w:left="2869" w:hanging="360"/>
      </w:pPr>
      <w:rPr>
        <w:rFonts w:ascii="Wingdings" w:hAnsi="Wingdings" w:hint="default"/>
      </w:rPr>
    </w:lvl>
    <w:lvl w:ilvl="3" w:tplc="111821F4">
      <w:start w:val="1"/>
      <w:numFmt w:val="bullet"/>
      <w:lvlText w:val=""/>
      <w:lvlJc w:val="left"/>
      <w:pPr>
        <w:ind w:left="3589" w:hanging="360"/>
      </w:pPr>
      <w:rPr>
        <w:rFonts w:ascii="Symbol" w:hAnsi="Symbol" w:hint="default"/>
      </w:rPr>
    </w:lvl>
    <w:lvl w:ilvl="4" w:tplc="1122A4C8">
      <w:start w:val="1"/>
      <w:numFmt w:val="bullet"/>
      <w:lvlText w:val="o"/>
      <w:lvlJc w:val="left"/>
      <w:pPr>
        <w:ind w:left="4309" w:hanging="360"/>
      </w:pPr>
      <w:rPr>
        <w:rFonts w:ascii="Courier New" w:hAnsi="Courier New" w:cs="Courier New" w:hint="default"/>
      </w:rPr>
    </w:lvl>
    <w:lvl w:ilvl="5" w:tplc="03DA28E0">
      <w:start w:val="1"/>
      <w:numFmt w:val="bullet"/>
      <w:lvlText w:val=""/>
      <w:lvlJc w:val="left"/>
      <w:pPr>
        <w:ind w:left="5029" w:hanging="360"/>
      </w:pPr>
      <w:rPr>
        <w:rFonts w:ascii="Wingdings" w:hAnsi="Wingdings" w:hint="default"/>
      </w:rPr>
    </w:lvl>
    <w:lvl w:ilvl="6" w:tplc="A7DAE36E">
      <w:start w:val="1"/>
      <w:numFmt w:val="bullet"/>
      <w:lvlText w:val=""/>
      <w:lvlJc w:val="left"/>
      <w:pPr>
        <w:ind w:left="5749" w:hanging="360"/>
      </w:pPr>
      <w:rPr>
        <w:rFonts w:ascii="Symbol" w:hAnsi="Symbol" w:hint="default"/>
      </w:rPr>
    </w:lvl>
    <w:lvl w:ilvl="7" w:tplc="A84CE2E6">
      <w:start w:val="1"/>
      <w:numFmt w:val="bullet"/>
      <w:lvlText w:val="o"/>
      <w:lvlJc w:val="left"/>
      <w:pPr>
        <w:ind w:left="6469" w:hanging="360"/>
      </w:pPr>
      <w:rPr>
        <w:rFonts w:ascii="Courier New" w:hAnsi="Courier New" w:cs="Courier New" w:hint="default"/>
      </w:rPr>
    </w:lvl>
    <w:lvl w:ilvl="8" w:tplc="54940D4A">
      <w:start w:val="1"/>
      <w:numFmt w:val="bullet"/>
      <w:lvlText w:val=""/>
      <w:lvlJc w:val="left"/>
      <w:pPr>
        <w:ind w:left="7189" w:hanging="360"/>
      </w:pPr>
      <w:rPr>
        <w:rFonts w:ascii="Wingdings" w:hAnsi="Wingdings" w:hint="default"/>
      </w:rPr>
    </w:lvl>
  </w:abstractNum>
  <w:abstractNum w:abstractNumId="9" w15:restartNumberingAfterBreak="0">
    <w:nsid w:val="50951F73"/>
    <w:multiLevelType w:val="hybridMultilevel"/>
    <w:tmpl w:val="567C4CD0"/>
    <w:lvl w:ilvl="0" w:tplc="358EF8FE">
      <w:start w:val="1"/>
      <w:numFmt w:val="decimal"/>
      <w:lvlText w:val="%1."/>
      <w:lvlJc w:val="left"/>
      <w:pPr>
        <w:ind w:left="1429" w:hanging="360"/>
      </w:pPr>
    </w:lvl>
    <w:lvl w:ilvl="1" w:tplc="CA3602E0">
      <w:start w:val="1"/>
      <w:numFmt w:val="lowerLetter"/>
      <w:lvlText w:val="%2."/>
      <w:lvlJc w:val="left"/>
      <w:pPr>
        <w:ind w:left="2149" w:hanging="360"/>
      </w:pPr>
    </w:lvl>
    <w:lvl w:ilvl="2" w:tplc="A456ED5A">
      <w:start w:val="1"/>
      <w:numFmt w:val="lowerRoman"/>
      <w:lvlText w:val="%3."/>
      <w:lvlJc w:val="right"/>
      <w:pPr>
        <w:ind w:left="2869" w:hanging="180"/>
      </w:pPr>
    </w:lvl>
    <w:lvl w:ilvl="3" w:tplc="5E148496">
      <w:start w:val="1"/>
      <w:numFmt w:val="decimal"/>
      <w:lvlText w:val="%4."/>
      <w:lvlJc w:val="left"/>
      <w:pPr>
        <w:ind w:left="3589" w:hanging="360"/>
      </w:pPr>
    </w:lvl>
    <w:lvl w:ilvl="4" w:tplc="E99A38A0">
      <w:start w:val="1"/>
      <w:numFmt w:val="lowerLetter"/>
      <w:lvlText w:val="%5."/>
      <w:lvlJc w:val="left"/>
      <w:pPr>
        <w:ind w:left="4309" w:hanging="360"/>
      </w:pPr>
    </w:lvl>
    <w:lvl w:ilvl="5" w:tplc="DDD6F1C2">
      <w:start w:val="1"/>
      <w:numFmt w:val="lowerRoman"/>
      <w:lvlText w:val="%6."/>
      <w:lvlJc w:val="right"/>
      <w:pPr>
        <w:ind w:left="5029" w:hanging="180"/>
      </w:pPr>
    </w:lvl>
    <w:lvl w:ilvl="6" w:tplc="46CEE07A">
      <w:start w:val="1"/>
      <w:numFmt w:val="decimal"/>
      <w:lvlText w:val="%7."/>
      <w:lvlJc w:val="left"/>
      <w:pPr>
        <w:ind w:left="5749" w:hanging="360"/>
      </w:pPr>
    </w:lvl>
    <w:lvl w:ilvl="7" w:tplc="5DAC0B46">
      <w:start w:val="1"/>
      <w:numFmt w:val="lowerLetter"/>
      <w:lvlText w:val="%8."/>
      <w:lvlJc w:val="left"/>
      <w:pPr>
        <w:ind w:left="6469" w:hanging="360"/>
      </w:pPr>
    </w:lvl>
    <w:lvl w:ilvl="8" w:tplc="BEBA8BB0">
      <w:start w:val="1"/>
      <w:numFmt w:val="lowerRoman"/>
      <w:lvlText w:val="%9."/>
      <w:lvlJc w:val="right"/>
      <w:pPr>
        <w:ind w:left="7189" w:hanging="180"/>
      </w:pPr>
    </w:lvl>
  </w:abstractNum>
  <w:abstractNum w:abstractNumId="10" w15:restartNumberingAfterBreak="0">
    <w:nsid w:val="5B157CBE"/>
    <w:multiLevelType w:val="hybridMultilevel"/>
    <w:tmpl w:val="B10238B2"/>
    <w:lvl w:ilvl="0" w:tplc="89749B32">
      <w:start w:val="1"/>
      <w:numFmt w:val="bullet"/>
      <w:lvlText w:val=""/>
      <w:lvlJc w:val="left"/>
      <w:pPr>
        <w:ind w:left="1429" w:hanging="360"/>
      </w:pPr>
      <w:rPr>
        <w:rFonts w:ascii="Symbol" w:hAnsi="Symbol" w:hint="default"/>
      </w:rPr>
    </w:lvl>
    <w:lvl w:ilvl="1" w:tplc="32C66458">
      <w:start w:val="1"/>
      <w:numFmt w:val="bullet"/>
      <w:lvlText w:val="o"/>
      <w:lvlJc w:val="left"/>
      <w:pPr>
        <w:ind w:left="2149" w:hanging="360"/>
      </w:pPr>
      <w:rPr>
        <w:rFonts w:ascii="Courier New" w:hAnsi="Courier New" w:cs="Courier New" w:hint="default"/>
      </w:rPr>
    </w:lvl>
    <w:lvl w:ilvl="2" w:tplc="17F2EFDC">
      <w:start w:val="1"/>
      <w:numFmt w:val="bullet"/>
      <w:lvlText w:val=""/>
      <w:lvlJc w:val="left"/>
      <w:pPr>
        <w:ind w:left="2869" w:hanging="360"/>
      </w:pPr>
      <w:rPr>
        <w:rFonts w:ascii="Wingdings" w:hAnsi="Wingdings" w:hint="default"/>
      </w:rPr>
    </w:lvl>
    <w:lvl w:ilvl="3" w:tplc="79CAA086">
      <w:start w:val="1"/>
      <w:numFmt w:val="bullet"/>
      <w:lvlText w:val=""/>
      <w:lvlJc w:val="left"/>
      <w:pPr>
        <w:ind w:left="3589" w:hanging="360"/>
      </w:pPr>
      <w:rPr>
        <w:rFonts w:ascii="Symbol" w:hAnsi="Symbol" w:hint="default"/>
      </w:rPr>
    </w:lvl>
    <w:lvl w:ilvl="4" w:tplc="B55030D8">
      <w:start w:val="1"/>
      <w:numFmt w:val="bullet"/>
      <w:lvlText w:val="o"/>
      <w:lvlJc w:val="left"/>
      <w:pPr>
        <w:ind w:left="4309" w:hanging="360"/>
      </w:pPr>
      <w:rPr>
        <w:rFonts w:ascii="Courier New" w:hAnsi="Courier New" w:cs="Courier New" w:hint="default"/>
      </w:rPr>
    </w:lvl>
    <w:lvl w:ilvl="5" w:tplc="47E22F36">
      <w:start w:val="1"/>
      <w:numFmt w:val="bullet"/>
      <w:lvlText w:val=""/>
      <w:lvlJc w:val="left"/>
      <w:pPr>
        <w:ind w:left="5029" w:hanging="360"/>
      </w:pPr>
      <w:rPr>
        <w:rFonts w:ascii="Wingdings" w:hAnsi="Wingdings" w:hint="default"/>
      </w:rPr>
    </w:lvl>
    <w:lvl w:ilvl="6" w:tplc="AE603E0C">
      <w:start w:val="1"/>
      <w:numFmt w:val="bullet"/>
      <w:lvlText w:val=""/>
      <w:lvlJc w:val="left"/>
      <w:pPr>
        <w:ind w:left="5749" w:hanging="360"/>
      </w:pPr>
      <w:rPr>
        <w:rFonts w:ascii="Symbol" w:hAnsi="Symbol" w:hint="default"/>
      </w:rPr>
    </w:lvl>
    <w:lvl w:ilvl="7" w:tplc="C958B23E">
      <w:start w:val="1"/>
      <w:numFmt w:val="bullet"/>
      <w:lvlText w:val="o"/>
      <w:lvlJc w:val="left"/>
      <w:pPr>
        <w:ind w:left="6469" w:hanging="360"/>
      </w:pPr>
      <w:rPr>
        <w:rFonts w:ascii="Courier New" w:hAnsi="Courier New" w:cs="Courier New" w:hint="default"/>
      </w:rPr>
    </w:lvl>
    <w:lvl w:ilvl="8" w:tplc="9D5C65B0">
      <w:start w:val="1"/>
      <w:numFmt w:val="bullet"/>
      <w:lvlText w:val=""/>
      <w:lvlJc w:val="left"/>
      <w:pPr>
        <w:ind w:left="7189" w:hanging="360"/>
      </w:pPr>
      <w:rPr>
        <w:rFonts w:ascii="Wingdings" w:hAnsi="Wingdings" w:hint="default"/>
      </w:rPr>
    </w:lvl>
  </w:abstractNum>
  <w:abstractNum w:abstractNumId="11" w15:restartNumberingAfterBreak="0">
    <w:nsid w:val="62FB739E"/>
    <w:multiLevelType w:val="hybridMultilevel"/>
    <w:tmpl w:val="A7F288A8"/>
    <w:lvl w:ilvl="0" w:tplc="28189DF6">
      <w:start w:val="1"/>
      <w:numFmt w:val="bullet"/>
      <w:lvlText w:val=""/>
      <w:lvlJc w:val="left"/>
      <w:pPr>
        <w:ind w:left="1429" w:hanging="360"/>
      </w:pPr>
      <w:rPr>
        <w:rFonts w:ascii="Symbol" w:hAnsi="Symbol" w:hint="default"/>
      </w:rPr>
    </w:lvl>
    <w:lvl w:ilvl="1" w:tplc="577A5C52">
      <w:start w:val="1"/>
      <w:numFmt w:val="bullet"/>
      <w:lvlText w:val="o"/>
      <w:lvlJc w:val="left"/>
      <w:pPr>
        <w:ind w:left="2149" w:hanging="360"/>
      </w:pPr>
      <w:rPr>
        <w:rFonts w:ascii="Courier New" w:hAnsi="Courier New" w:cs="Courier New" w:hint="default"/>
      </w:rPr>
    </w:lvl>
    <w:lvl w:ilvl="2" w:tplc="2884C382">
      <w:start w:val="1"/>
      <w:numFmt w:val="bullet"/>
      <w:lvlText w:val=""/>
      <w:lvlJc w:val="left"/>
      <w:pPr>
        <w:ind w:left="2869" w:hanging="360"/>
      </w:pPr>
      <w:rPr>
        <w:rFonts w:ascii="Wingdings" w:hAnsi="Wingdings" w:hint="default"/>
      </w:rPr>
    </w:lvl>
    <w:lvl w:ilvl="3" w:tplc="F252E0BE">
      <w:start w:val="1"/>
      <w:numFmt w:val="bullet"/>
      <w:lvlText w:val=""/>
      <w:lvlJc w:val="left"/>
      <w:pPr>
        <w:ind w:left="3589" w:hanging="360"/>
      </w:pPr>
      <w:rPr>
        <w:rFonts w:ascii="Symbol" w:hAnsi="Symbol" w:hint="default"/>
      </w:rPr>
    </w:lvl>
    <w:lvl w:ilvl="4" w:tplc="5ABEB526">
      <w:start w:val="1"/>
      <w:numFmt w:val="bullet"/>
      <w:lvlText w:val="o"/>
      <w:lvlJc w:val="left"/>
      <w:pPr>
        <w:ind w:left="4309" w:hanging="360"/>
      </w:pPr>
      <w:rPr>
        <w:rFonts w:ascii="Courier New" w:hAnsi="Courier New" w:cs="Courier New" w:hint="default"/>
      </w:rPr>
    </w:lvl>
    <w:lvl w:ilvl="5" w:tplc="FA8C71F0">
      <w:start w:val="1"/>
      <w:numFmt w:val="bullet"/>
      <w:lvlText w:val=""/>
      <w:lvlJc w:val="left"/>
      <w:pPr>
        <w:ind w:left="5029" w:hanging="360"/>
      </w:pPr>
      <w:rPr>
        <w:rFonts w:ascii="Wingdings" w:hAnsi="Wingdings" w:hint="default"/>
      </w:rPr>
    </w:lvl>
    <w:lvl w:ilvl="6" w:tplc="7AC092DC">
      <w:start w:val="1"/>
      <w:numFmt w:val="bullet"/>
      <w:lvlText w:val=""/>
      <w:lvlJc w:val="left"/>
      <w:pPr>
        <w:ind w:left="5749" w:hanging="360"/>
      </w:pPr>
      <w:rPr>
        <w:rFonts w:ascii="Symbol" w:hAnsi="Symbol" w:hint="default"/>
      </w:rPr>
    </w:lvl>
    <w:lvl w:ilvl="7" w:tplc="7B0032EE">
      <w:start w:val="1"/>
      <w:numFmt w:val="bullet"/>
      <w:lvlText w:val="o"/>
      <w:lvlJc w:val="left"/>
      <w:pPr>
        <w:ind w:left="6469" w:hanging="360"/>
      </w:pPr>
      <w:rPr>
        <w:rFonts w:ascii="Courier New" w:hAnsi="Courier New" w:cs="Courier New" w:hint="default"/>
      </w:rPr>
    </w:lvl>
    <w:lvl w:ilvl="8" w:tplc="3CC0EDB4">
      <w:start w:val="1"/>
      <w:numFmt w:val="bullet"/>
      <w:lvlText w:val=""/>
      <w:lvlJc w:val="left"/>
      <w:pPr>
        <w:ind w:left="7189" w:hanging="360"/>
      </w:pPr>
      <w:rPr>
        <w:rFonts w:ascii="Wingdings" w:hAnsi="Wingdings" w:hint="default"/>
      </w:rPr>
    </w:lvl>
  </w:abstractNum>
  <w:abstractNum w:abstractNumId="12" w15:restartNumberingAfterBreak="0">
    <w:nsid w:val="63E3572A"/>
    <w:multiLevelType w:val="hybridMultilevel"/>
    <w:tmpl w:val="7F789E16"/>
    <w:lvl w:ilvl="0" w:tplc="4E2E92AA">
      <w:start w:val="1"/>
      <w:numFmt w:val="bullet"/>
      <w:lvlText w:val=""/>
      <w:lvlJc w:val="left"/>
      <w:pPr>
        <w:ind w:left="1429" w:hanging="360"/>
      </w:pPr>
      <w:rPr>
        <w:rFonts w:ascii="Symbol" w:hAnsi="Symbol" w:hint="default"/>
      </w:rPr>
    </w:lvl>
    <w:lvl w:ilvl="1" w:tplc="2E807100">
      <w:start w:val="1"/>
      <w:numFmt w:val="bullet"/>
      <w:lvlText w:val="o"/>
      <w:lvlJc w:val="left"/>
      <w:pPr>
        <w:ind w:left="2149" w:hanging="360"/>
      </w:pPr>
      <w:rPr>
        <w:rFonts w:ascii="Courier New" w:hAnsi="Courier New" w:cs="Courier New" w:hint="default"/>
      </w:rPr>
    </w:lvl>
    <w:lvl w:ilvl="2" w:tplc="6E0051BC">
      <w:start w:val="1"/>
      <w:numFmt w:val="bullet"/>
      <w:lvlText w:val=""/>
      <w:lvlJc w:val="left"/>
      <w:pPr>
        <w:ind w:left="2869" w:hanging="360"/>
      </w:pPr>
      <w:rPr>
        <w:rFonts w:ascii="Wingdings" w:hAnsi="Wingdings" w:hint="default"/>
      </w:rPr>
    </w:lvl>
    <w:lvl w:ilvl="3" w:tplc="21F077E4">
      <w:start w:val="1"/>
      <w:numFmt w:val="bullet"/>
      <w:lvlText w:val=""/>
      <w:lvlJc w:val="left"/>
      <w:pPr>
        <w:ind w:left="3589" w:hanging="360"/>
      </w:pPr>
      <w:rPr>
        <w:rFonts w:ascii="Symbol" w:hAnsi="Symbol" w:hint="default"/>
      </w:rPr>
    </w:lvl>
    <w:lvl w:ilvl="4" w:tplc="FA0652C0">
      <w:start w:val="1"/>
      <w:numFmt w:val="bullet"/>
      <w:lvlText w:val="o"/>
      <w:lvlJc w:val="left"/>
      <w:pPr>
        <w:ind w:left="4309" w:hanging="360"/>
      </w:pPr>
      <w:rPr>
        <w:rFonts w:ascii="Courier New" w:hAnsi="Courier New" w:cs="Courier New" w:hint="default"/>
      </w:rPr>
    </w:lvl>
    <w:lvl w:ilvl="5" w:tplc="FCB45166">
      <w:start w:val="1"/>
      <w:numFmt w:val="bullet"/>
      <w:lvlText w:val=""/>
      <w:lvlJc w:val="left"/>
      <w:pPr>
        <w:ind w:left="5029" w:hanging="360"/>
      </w:pPr>
      <w:rPr>
        <w:rFonts w:ascii="Wingdings" w:hAnsi="Wingdings" w:hint="default"/>
      </w:rPr>
    </w:lvl>
    <w:lvl w:ilvl="6" w:tplc="3AFA10CA">
      <w:start w:val="1"/>
      <w:numFmt w:val="bullet"/>
      <w:lvlText w:val=""/>
      <w:lvlJc w:val="left"/>
      <w:pPr>
        <w:ind w:left="5749" w:hanging="360"/>
      </w:pPr>
      <w:rPr>
        <w:rFonts w:ascii="Symbol" w:hAnsi="Symbol" w:hint="default"/>
      </w:rPr>
    </w:lvl>
    <w:lvl w:ilvl="7" w:tplc="8186667A">
      <w:start w:val="1"/>
      <w:numFmt w:val="bullet"/>
      <w:lvlText w:val="o"/>
      <w:lvlJc w:val="left"/>
      <w:pPr>
        <w:ind w:left="6469" w:hanging="360"/>
      </w:pPr>
      <w:rPr>
        <w:rFonts w:ascii="Courier New" w:hAnsi="Courier New" w:cs="Courier New" w:hint="default"/>
      </w:rPr>
    </w:lvl>
    <w:lvl w:ilvl="8" w:tplc="C568B0C4">
      <w:start w:val="1"/>
      <w:numFmt w:val="bullet"/>
      <w:lvlText w:val=""/>
      <w:lvlJc w:val="left"/>
      <w:pPr>
        <w:ind w:left="7189" w:hanging="360"/>
      </w:pPr>
      <w:rPr>
        <w:rFonts w:ascii="Wingdings" w:hAnsi="Wingdings" w:hint="default"/>
      </w:rPr>
    </w:lvl>
  </w:abstractNum>
  <w:abstractNum w:abstractNumId="13" w15:restartNumberingAfterBreak="0">
    <w:nsid w:val="752132AD"/>
    <w:multiLevelType w:val="hybridMultilevel"/>
    <w:tmpl w:val="82B610EC"/>
    <w:lvl w:ilvl="0" w:tplc="7B88B1D6">
      <w:start w:val="1"/>
      <w:numFmt w:val="decimal"/>
      <w:lvlText w:val="%1."/>
      <w:lvlJc w:val="left"/>
      <w:pPr>
        <w:ind w:left="1788" w:hanging="360"/>
      </w:pPr>
    </w:lvl>
    <w:lvl w:ilvl="1" w:tplc="0846A862">
      <w:start w:val="1"/>
      <w:numFmt w:val="lowerLetter"/>
      <w:lvlText w:val="%2."/>
      <w:lvlJc w:val="left"/>
      <w:pPr>
        <w:ind w:left="2508" w:hanging="360"/>
      </w:pPr>
    </w:lvl>
    <w:lvl w:ilvl="2" w:tplc="26B2E5F6">
      <w:start w:val="1"/>
      <w:numFmt w:val="lowerRoman"/>
      <w:lvlText w:val="%3."/>
      <w:lvlJc w:val="right"/>
      <w:pPr>
        <w:ind w:left="3228" w:hanging="180"/>
      </w:pPr>
    </w:lvl>
    <w:lvl w:ilvl="3" w:tplc="93825DF6">
      <w:start w:val="1"/>
      <w:numFmt w:val="decimal"/>
      <w:lvlText w:val="%4."/>
      <w:lvlJc w:val="left"/>
      <w:pPr>
        <w:ind w:left="3948" w:hanging="360"/>
      </w:pPr>
    </w:lvl>
    <w:lvl w:ilvl="4" w:tplc="0E7E62E8">
      <w:start w:val="1"/>
      <w:numFmt w:val="lowerLetter"/>
      <w:lvlText w:val="%5."/>
      <w:lvlJc w:val="left"/>
      <w:pPr>
        <w:ind w:left="4668" w:hanging="360"/>
      </w:pPr>
    </w:lvl>
    <w:lvl w:ilvl="5" w:tplc="BA7E190E">
      <w:start w:val="1"/>
      <w:numFmt w:val="lowerRoman"/>
      <w:lvlText w:val="%6."/>
      <w:lvlJc w:val="right"/>
      <w:pPr>
        <w:ind w:left="5388" w:hanging="180"/>
      </w:pPr>
    </w:lvl>
    <w:lvl w:ilvl="6" w:tplc="B7282AEA">
      <w:start w:val="1"/>
      <w:numFmt w:val="decimal"/>
      <w:lvlText w:val="%7."/>
      <w:lvlJc w:val="left"/>
      <w:pPr>
        <w:ind w:left="6108" w:hanging="360"/>
      </w:pPr>
    </w:lvl>
    <w:lvl w:ilvl="7" w:tplc="CDB64AA4">
      <w:start w:val="1"/>
      <w:numFmt w:val="lowerLetter"/>
      <w:lvlText w:val="%8."/>
      <w:lvlJc w:val="left"/>
      <w:pPr>
        <w:ind w:left="6828" w:hanging="360"/>
      </w:pPr>
    </w:lvl>
    <w:lvl w:ilvl="8" w:tplc="D9CE6042">
      <w:start w:val="1"/>
      <w:numFmt w:val="lowerRoman"/>
      <w:lvlText w:val="%9."/>
      <w:lvlJc w:val="right"/>
      <w:pPr>
        <w:ind w:left="7548" w:hanging="180"/>
      </w:pPr>
    </w:lvl>
  </w:abstractNum>
  <w:abstractNum w:abstractNumId="14" w15:restartNumberingAfterBreak="0">
    <w:nsid w:val="7CE0714A"/>
    <w:multiLevelType w:val="hybridMultilevel"/>
    <w:tmpl w:val="EB92C91A"/>
    <w:lvl w:ilvl="0" w:tplc="72AEE6CC">
      <w:start w:val="40"/>
      <w:numFmt w:val="bullet"/>
      <w:lvlText w:val="̶"/>
      <w:lvlJc w:val="left"/>
      <w:pPr>
        <w:ind w:left="1429" w:hanging="360"/>
      </w:pPr>
      <w:rPr>
        <w:rFonts w:ascii="Times New Roman" w:eastAsia="Times New Roman" w:hAnsi="Times New Roman" w:cs="Times New Roman" w:hint="default"/>
      </w:rPr>
    </w:lvl>
    <w:lvl w:ilvl="1" w:tplc="E182E4DC">
      <w:start w:val="1"/>
      <w:numFmt w:val="bullet"/>
      <w:lvlText w:val="o"/>
      <w:lvlJc w:val="left"/>
      <w:pPr>
        <w:ind w:left="2149" w:hanging="360"/>
      </w:pPr>
      <w:rPr>
        <w:rFonts w:ascii="Courier New" w:hAnsi="Courier New" w:cs="Courier New" w:hint="default"/>
      </w:rPr>
    </w:lvl>
    <w:lvl w:ilvl="2" w:tplc="4AEA830E">
      <w:start w:val="1"/>
      <w:numFmt w:val="bullet"/>
      <w:lvlText w:val=""/>
      <w:lvlJc w:val="left"/>
      <w:pPr>
        <w:ind w:left="2869" w:hanging="360"/>
      </w:pPr>
      <w:rPr>
        <w:rFonts w:ascii="Wingdings" w:hAnsi="Wingdings" w:hint="default"/>
      </w:rPr>
    </w:lvl>
    <w:lvl w:ilvl="3" w:tplc="10A6FB62">
      <w:start w:val="1"/>
      <w:numFmt w:val="bullet"/>
      <w:lvlText w:val=""/>
      <w:lvlJc w:val="left"/>
      <w:pPr>
        <w:ind w:left="3589" w:hanging="360"/>
      </w:pPr>
      <w:rPr>
        <w:rFonts w:ascii="Symbol" w:hAnsi="Symbol" w:hint="default"/>
      </w:rPr>
    </w:lvl>
    <w:lvl w:ilvl="4" w:tplc="ACB2DD0E">
      <w:start w:val="1"/>
      <w:numFmt w:val="bullet"/>
      <w:lvlText w:val="o"/>
      <w:lvlJc w:val="left"/>
      <w:pPr>
        <w:ind w:left="4309" w:hanging="360"/>
      </w:pPr>
      <w:rPr>
        <w:rFonts w:ascii="Courier New" w:hAnsi="Courier New" w:cs="Courier New" w:hint="default"/>
      </w:rPr>
    </w:lvl>
    <w:lvl w:ilvl="5" w:tplc="DDD61D5E">
      <w:start w:val="1"/>
      <w:numFmt w:val="bullet"/>
      <w:lvlText w:val=""/>
      <w:lvlJc w:val="left"/>
      <w:pPr>
        <w:ind w:left="5029" w:hanging="360"/>
      </w:pPr>
      <w:rPr>
        <w:rFonts w:ascii="Wingdings" w:hAnsi="Wingdings" w:hint="default"/>
      </w:rPr>
    </w:lvl>
    <w:lvl w:ilvl="6" w:tplc="EE7CB968">
      <w:start w:val="1"/>
      <w:numFmt w:val="bullet"/>
      <w:lvlText w:val=""/>
      <w:lvlJc w:val="left"/>
      <w:pPr>
        <w:ind w:left="5749" w:hanging="360"/>
      </w:pPr>
      <w:rPr>
        <w:rFonts w:ascii="Symbol" w:hAnsi="Symbol" w:hint="default"/>
      </w:rPr>
    </w:lvl>
    <w:lvl w:ilvl="7" w:tplc="6F8E1DA0">
      <w:start w:val="1"/>
      <w:numFmt w:val="bullet"/>
      <w:lvlText w:val="o"/>
      <w:lvlJc w:val="left"/>
      <w:pPr>
        <w:ind w:left="6469" w:hanging="360"/>
      </w:pPr>
      <w:rPr>
        <w:rFonts w:ascii="Courier New" w:hAnsi="Courier New" w:cs="Courier New" w:hint="default"/>
      </w:rPr>
    </w:lvl>
    <w:lvl w:ilvl="8" w:tplc="DA66F568">
      <w:start w:val="1"/>
      <w:numFmt w:val="bullet"/>
      <w:lvlText w:val=""/>
      <w:lvlJc w:val="left"/>
      <w:pPr>
        <w:ind w:left="7189" w:hanging="360"/>
      </w:pPr>
      <w:rPr>
        <w:rFonts w:ascii="Wingdings" w:hAnsi="Wingdings" w:hint="default"/>
      </w:rPr>
    </w:lvl>
  </w:abstractNum>
  <w:num w:numId="1" w16cid:durableId="1305624853">
    <w:abstractNumId w:val="8"/>
  </w:num>
  <w:num w:numId="2" w16cid:durableId="1860853215">
    <w:abstractNumId w:val="1"/>
  </w:num>
  <w:num w:numId="3" w16cid:durableId="1827936474">
    <w:abstractNumId w:val="10"/>
  </w:num>
  <w:num w:numId="4" w16cid:durableId="1160973044">
    <w:abstractNumId w:val="12"/>
  </w:num>
  <w:num w:numId="5" w16cid:durableId="1655522800">
    <w:abstractNumId w:val="4"/>
  </w:num>
  <w:num w:numId="6" w16cid:durableId="523708006">
    <w:abstractNumId w:val="14"/>
  </w:num>
  <w:num w:numId="7" w16cid:durableId="1183013625">
    <w:abstractNumId w:val="7"/>
  </w:num>
  <w:num w:numId="8" w16cid:durableId="1696418463">
    <w:abstractNumId w:val="6"/>
  </w:num>
  <w:num w:numId="9" w16cid:durableId="482311727">
    <w:abstractNumId w:val="5"/>
  </w:num>
  <w:num w:numId="10" w16cid:durableId="1448231730">
    <w:abstractNumId w:val="9"/>
  </w:num>
  <w:num w:numId="11" w16cid:durableId="67386559">
    <w:abstractNumId w:val="13"/>
  </w:num>
  <w:num w:numId="12" w16cid:durableId="1831217756">
    <w:abstractNumId w:val="2"/>
  </w:num>
  <w:num w:numId="13" w16cid:durableId="866602400">
    <w:abstractNumId w:val="3"/>
  </w:num>
  <w:num w:numId="14" w16cid:durableId="814687272">
    <w:abstractNumId w:val="11"/>
  </w:num>
  <w:num w:numId="15" w16cid:durableId="1413815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B19"/>
    <w:rsid w:val="000C50AB"/>
    <w:rsid w:val="00177604"/>
    <w:rsid w:val="00363E24"/>
    <w:rsid w:val="005A6F89"/>
    <w:rsid w:val="008602F2"/>
    <w:rsid w:val="008B5A82"/>
    <w:rsid w:val="009D148D"/>
    <w:rsid w:val="00B80C17"/>
    <w:rsid w:val="00BC0B3D"/>
    <w:rsid w:val="00C425A0"/>
    <w:rsid w:val="00D4651C"/>
    <w:rsid w:val="00E02B19"/>
    <w:rsid w:val="00F56757"/>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6917B"/>
  <w15:docId w15:val="{CDBC9293-E679-46B3-9D60-F81EFCE38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lang w:val="ru-RU"/>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TableNormal"/>
    <w:uiPriority w:val="99"/>
    <w:pPr>
      <w:spacing w:after="0" w:line="240" w:lineRule="auto"/>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TableNormal"/>
    <w:uiPriority w:val="99"/>
    <w:pPr>
      <w:spacing w:after="0" w:line="240" w:lineRule="auto"/>
    </w:pPr>
    <w:rPr>
      <w:color w:val="404040"/>
      <w:sz w:val="20"/>
      <w:szCs w:val="20"/>
      <w:lang w:val="ru-RU"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customStyle="1" w:styleId="Heading1Char1">
    <w:name w:val="Heading 1 Char1"/>
    <w:basedOn w:val="DefaultParagraphFont"/>
    <w:link w:val="Heading1"/>
    <w:uiPriority w:val="9"/>
    <w:rPr>
      <w:rFonts w:asciiTheme="majorHAnsi" w:eastAsiaTheme="majorEastAsia" w:hAnsiTheme="majorHAnsi" w:cstheme="majorBidi"/>
      <w:color w:val="2F5496" w:themeColor="accent1" w:themeShade="BF"/>
      <w:sz w:val="32"/>
      <w:szCs w:val="32"/>
      <w:lang w:val="ru-RU"/>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unhideWhenUsed/>
    <w:pPr>
      <w:tabs>
        <w:tab w:val="center" w:pos="4844"/>
        <w:tab w:val="right" w:pos="9689"/>
      </w:tabs>
      <w:spacing w:after="0" w:line="240" w:lineRule="auto"/>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unhideWhenUsed/>
    <w:pPr>
      <w:tabs>
        <w:tab w:val="center" w:pos="4844"/>
        <w:tab w:val="right" w:pos="9689"/>
      </w:tabs>
      <w:spacing w:after="0" w:line="240" w:lineRule="auto"/>
    </w:pPr>
  </w:style>
  <w:style w:type="character" w:customStyle="1" w:styleId="FooterChar1">
    <w:name w:val="Footer Char1"/>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TOCHeading">
    <w:name w:val="TOC Heading"/>
    <w:basedOn w:val="Heading1"/>
    <w:next w:val="Normal"/>
    <w:uiPriority w:val="39"/>
    <w:unhideWhenUsed/>
    <w:qFormat/>
    <w:pPr>
      <w:outlineLvl w:val="9"/>
    </w:pPr>
  </w:style>
  <w:style w:type="paragraph" w:styleId="TOC1">
    <w:name w:val="toc 1"/>
    <w:basedOn w:val="Normal"/>
    <w:next w:val="Normal"/>
    <w:uiPriority w:val="39"/>
    <w:unhideWhenUse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26" Type="http://schemas.openxmlformats.org/officeDocument/2006/relationships/image" Target="media/image3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economy.nayka.com.ua/" TargetMode="External"/><Relationship Id="rId25" Type="http://schemas.openxmlformats.org/officeDocument/2006/relationships/image" Target="media/image3.png"/><Relationship Id="rId2" Type="http://schemas.openxmlformats.org/officeDocument/2006/relationships/customXml" Target="../customXml/item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buv.gov.ua/UJRN/Fkd_2014_2_5" TargetMode="External"/><Relationship Id="rId24" Type="http://schemas.openxmlformats.org/officeDocument/2006/relationships/image" Target="media/image20.png"/><Relationship Id="rId5" Type="http://schemas.openxmlformats.org/officeDocument/2006/relationships/settings" Target="settings.xml"/><Relationship Id="rId23" Type="http://schemas.openxmlformats.org/officeDocument/2006/relationships/image" Target="media/image2.png"/><Relationship Id="rId28" Type="http://schemas.openxmlformats.org/officeDocument/2006/relationships/image" Target="media/image40.png"/><Relationship Id="rId10" Type="http://schemas.openxmlformats.org/officeDocument/2006/relationships/hyperlink" Target="http://www.bank.gov.ua/control/uk/index"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zakon2.rada.gov.ua/laws/436-15" TargetMode="External"/><Relationship Id="rId22" Type="http://schemas.openxmlformats.org/officeDocument/2006/relationships/image" Target="media/image10.png"/><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EEE975A2-B54C-428B-B735-25835EAC020B}">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1967</Words>
  <Characters>11212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Нертик</dc:creator>
  <cp:keywords/>
  <dc:description/>
  <cp:lastModifiedBy>Артём Мищенко</cp:lastModifiedBy>
  <cp:revision>13</cp:revision>
  <dcterms:created xsi:type="dcterms:W3CDTF">2021-10-30T20:03:00Z</dcterms:created>
  <dcterms:modified xsi:type="dcterms:W3CDTF">2024-05-25T14:29:00Z</dcterms:modified>
</cp:coreProperties>
</file>