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E" w14:textId="6A42AFFD" w:rsidR="00C77AF3" w:rsidRPr="00D470C9" w:rsidRDefault="00D470C9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 w:type="column"/>
      </w:r>
      <w:r w:rsidR="00D05FB2"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ЗМІСТ</w:t>
      </w:r>
    </w:p>
    <w:p w14:paraId="21ECF426" w14:textId="77777777" w:rsidR="00D470C9" w:rsidRPr="00D470C9" w:rsidRDefault="00D470C9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1F" w14:textId="29571600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ВСТУП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………………….………………………….……………..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3</w:t>
      </w:r>
    </w:p>
    <w:p w14:paraId="00000020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РОЗДІЛ 1. ОБСЄ і НАТО в системі міжнародного співробітництва: теоретико-правові засади</w:t>
      </w:r>
    </w:p>
    <w:p w14:paraId="00000021" w14:textId="31C8CC09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1.1. Виникнення та функціонування ОБСЄ і НАТО на міжнародній арені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...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5</w:t>
      </w:r>
    </w:p>
    <w:p w14:paraId="00000022" w14:textId="5DDFC78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1.2. Правові засади діяльності ОБСЄ у міжнародних відносинах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…..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8</w:t>
      </w:r>
    </w:p>
    <w:p w14:paraId="00000023" w14:textId="6332F781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1.3. Правова основа функціонування НАТО в міжнародній системі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11</w:t>
      </w:r>
    </w:p>
    <w:p w14:paraId="00000024" w14:textId="4BADF45F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РОЗДІЛ 2. Основні напрямки взаємодії НАТО і ОБСЄ у сучасній міжнародній системі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………………………………………………………………..16</w:t>
      </w:r>
    </w:p>
    <w:p w14:paraId="00000025" w14:textId="5D7AFC8B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2.1. Характеристика ключових аспектів взаємодії ОБСЄ і НАТО на міжнародній арені</w:t>
      </w:r>
      <w:r w:rsidR="00053CA5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…...</w:t>
      </w:r>
      <w:r w:rsidR="00053CA5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16</w:t>
      </w:r>
    </w:p>
    <w:p w14:paraId="00000026" w14:textId="30C3BD45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2.2. Взаємодія ОБСЄ і НАТО у забезпеченні соціогуманітарної безпеки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………………………………………………………………………</w:t>
      </w:r>
      <w:r w:rsidR="00053CA5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…17</w:t>
      </w:r>
    </w:p>
    <w:p w14:paraId="00000027" w14:textId="78994279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2.3. Особливості взаємодії ОБСЄ і НАТО у сфері миротворчості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………………………………………………………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r w:rsidR="00053CA5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19</w:t>
      </w:r>
    </w:p>
    <w:p w14:paraId="00000028" w14:textId="1C4E2856" w:rsidR="00C77AF3" w:rsidRPr="00C305BE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РОЗДІЛ 3. Діяльність ОБСЄ та НАТО на міжнародній арені: сучасний стан та перспективи розвитку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……………………………………………………….…22</w:t>
      </w:r>
    </w:p>
    <w:p w14:paraId="00000029" w14:textId="7A17958D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3.1. Сучасний стан і перспективні напрямки діяльності ОБСЄ</w:t>
      </w:r>
      <w:r w:rsidR="0003796D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……………………………………………………………...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</w:t>
      </w:r>
      <w:r w:rsidR="0003796D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22</w:t>
      </w:r>
    </w:p>
    <w:p w14:paraId="0000002A" w14:textId="281441B4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3.2. Характеристика перспективних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напрямків діяльності НАТО на міжнародній арені</w:t>
      </w:r>
      <w:r w:rsidR="0003796D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………………………….………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….</w:t>
      </w:r>
      <w:r w:rsidR="0003796D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.…………………………..23</w:t>
      </w:r>
    </w:p>
    <w:p w14:paraId="0000002B" w14:textId="437EABB1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3.3. Перспектива поглиблення відносин ОБСЄ і НАТО у ключових аспектах взаємодії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</w:t>
      </w:r>
      <w:r w:rsidR="0003796D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</w:t>
      </w:r>
      <w:r w:rsidR="0003796D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25</w:t>
      </w:r>
    </w:p>
    <w:p w14:paraId="0000002C" w14:textId="1A90ABAE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ВИСНОВКИ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</w:t>
      </w:r>
      <w:r w:rsidR="0003796D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……..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27</w:t>
      </w:r>
    </w:p>
    <w:p w14:paraId="0000002D" w14:textId="67A8483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СПИСОК ВИКОРИСТАНИХ ДЖЕРЕЛ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</w:t>
      </w:r>
      <w:r w:rsidR="00505F98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……..</w:t>
      </w:r>
      <w:r w:rsidR="006243E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29</w:t>
      </w:r>
    </w:p>
    <w:p w14:paraId="00000034" w14:textId="132B13E1" w:rsidR="00C77AF3" w:rsidRPr="00D470C9" w:rsidRDefault="00D470C9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 w:type="column"/>
      </w:r>
    </w:p>
    <w:p w14:paraId="00000035" w14:textId="4BE6869D" w:rsidR="00C77AF3" w:rsidRPr="00D470C9" w:rsidRDefault="00D05FB2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ВСТУП</w:t>
      </w:r>
    </w:p>
    <w:p w14:paraId="65C724FA" w14:textId="77777777" w:rsidR="005E5AD9" w:rsidRPr="00D470C9" w:rsidRDefault="005E5AD9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36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Актуальність дослідження.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Аналізуючи події в світі виникає потреба в організаціях, які змогли би врегульовувати ті питання, з якими не можуть впоратися самі держави. Такими організаціями є НАТО та ОБСЄ. З першого погляду можна сказати, що в них одна функція - забезпечувати безпеку та врегулювання конфліктів, проте необхідно з’ясувати як саме вони співпрацюють, та чи співпрацюють взагалі, які в них спільні напрями, а чим відрізняються. </w:t>
      </w:r>
    </w:p>
    <w:p w14:paraId="00000037" w14:textId="0F07E289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Стан наукового дослідження.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Дослідження теми курсової роботи проводилося на основі робіт таких науковців як Парахонський Б. О., Анісов О.</w:t>
      </w:r>
      <w:r w:rsid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 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А., Козак Д. О., Корнієнко В. О.,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Фалалєєва В. А., Сироїд Т. Л. та інших.</w:t>
      </w:r>
    </w:p>
    <w:p w14:paraId="00000038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Мета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дослідження полягає в аналізі сучасного стану та перспектив співробітництва ОБСЄ та НАТО.</w:t>
      </w:r>
    </w:p>
    <w:p w14:paraId="00000043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highlight w:val="white"/>
        </w:rPr>
        <w:t>Об’єктом курсової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47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роботи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є суспільні відносини, які виникають з приводу діяльності ОБСЄ та НАТО.</w:t>
      </w:r>
    </w:p>
    <w:p w14:paraId="00000044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highlight w:val="white"/>
        </w:rPr>
        <w:t>Предметом роботи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є сучасний стан та перспективи співробітництва ОБСЄ та НАТО.</w:t>
      </w:r>
    </w:p>
    <w:p w14:paraId="00000046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Структура та обсяг курсової роботи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відповідно до мети, складається з 3 розділів, висновків та списку використаних джерел.</w:t>
      </w:r>
    </w:p>
    <w:p w14:paraId="00000049" w14:textId="5C6359CB" w:rsidR="00C77AF3" w:rsidRPr="00D470C9" w:rsidRDefault="00D470C9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 w:type="column"/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РОЗДІЛ 1.</w:t>
      </w:r>
    </w:p>
    <w:p w14:paraId="0000004A" w14:textId="2FD4FDE8" w:rsidR="00C77AF3" w:rsidRPr="00D470C9" w:rsidRDefault="00D470C9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ОБСЄ І НАТО В СИСТЕМІ МІЖНАРОДНОГО СПІВРОБІТНИЦТВА: ТЕОРЕТИКО-ПРАВОВІ ЗАСАДИ</w:t>
      </w:r>
    </w:p>
    <w:p w14:paraId="0000004B" w14:textId="77777777" w:rsidR="00C77AF3" w:rsidRPr="00D470C9" w:rsidRDefault="00C77AF3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4C" w14:textId="4DFE8BE5" w:rsidR="00C77AF3" w:rsidRPr="00D470C9" w:rsidRDefault="00D05FB2" w:rsidP="00C305BE">
      <w:pPr>
        <w:pStyle w:val="aa"/>
        <w:numPr>
          <w:ilvl w:val="1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Виникнення та функціонування ОБСЄ і НАТО на міжнародній арені</w:t>
      </w:r>
    </w:p>
    <w:p w14:paraId="1B8810F0" w14:textId="77777777" w:rsidR="00D470C9" w:rsidRPr="00D470C9" w:rsidRDefault="00D470C9" w:rsidP="00C305BE">
      <w:pPr>
        <w:pStyle w:val="aa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4D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Європейська система безпеки нині складається з кількох базових і взаємозалежних складників. Зв’язки між ними є багатовимірними й не завжди добре скоординованими. У міжнародно-правовому сенсі стабільність безпекового середовища у Європі забезпечують ОБСЄ, НАТО, ОДКБ та ЄС. Ключову роль у системі безпеки в Європі відіграє НАТО, більшість із членів якої – це європейські країни, які є одночасно і членами ЄС. Безпекова політика Євросоюзу формується як принципово доповнювальна до політики НАТО. Водночас відбувається й збільшення ваги ЄС, який продовжує розвивати власну зовнішню та безпекову політику, включно з оборонним складником [1, с. 110].</w:t>
      </w:r>
    </w:p>
    <w:p w14:paraId="0000004E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 сході Європи вирішення питань безпеки прагне брати на себе ОДКБ (фактично РФ), але такі країни, як Україна, Молдова, Грузія та Азербайджан залишаються у зоні невизначеності, і їх безпекою фактично опікується лише ОБСЄ. Роль останньої має тенденцію до зменшення. Наразі вона фактично не виходить за межі моніторингу за демократичними процесами та захистом прав людини, а також опікується післякризовим урегулюванням у зонах конфліктів.</w:t>
      </w:r>
    </w:p>
    <w:p w14:paraId="00000055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56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1.2. Правові засади діяльності ОБСЄ у міжнародних відносинах</w:t>
      </w:r>
    </w:p>
    <w:p w14:paraId="00000057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58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Міжнародне співтовариство не раз намагалося виробити єдиний механізм задля реалізації спільних зусиль з підтримання миру та безпеки. Створені ж структури часто виявлялися недієвими або недостатньо авторитетними щодо прийняття і, найважливіше, виконання рішень з окреслених питань. У ситуації, коли головний орган з підтримання миру та безпеки – Рада Безпеки ООН – не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вирізняється дієвістю у недопущенні збройних конфліктів, важко вести мову про конструктивну роль регіональних об’єднань у цій сфері, серед яких і ОБСЄ як одна з найбільш перспективних регіональних міжнародних організацій у безпековій сфері, що має великі потенційні можливості [5, с. 136]. </w:t>
      </w:r>
    </w:p>
    <w:p w14:paraId="00000059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Заключний акт НБСЄ, прийнятий 1 серпня 1975 р. у Гельсінкі, містить вичерпний перелік основних принципів сучасного міжнародного права, принципів, якими держави-учасниці погодились керуватися у взаємних відносинах, серед них принцип «поваги до прав людини та основоположних свобод, включаючи свободу думки, совісті, релігії та переконань». Держави-учасниці закріпили свою згоду продовжувати багатосторонній процес регулярних зустрічей з метою обміну думками про виконання положень Заключного акту. </w:t>
      </w:r>
    </w:p>
    <w:p w14:paraId="00000060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61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1.3. Правова основа функціонування НАТО в міжнародній системі</w:t>
      </w:r>
    </w:p>
    <w:p w14:paraId="054F3F8C" w14:textId="77777777" w:rsidR="00D470C9" w:rsidRDefault="00D470C9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63" w14:textId="32FF403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Підписання 17 березня 1948 р. Брюссельського договору, першим кроком до якого вважається виступ 22 січня 1948 р. міністра закордонних справ Великобританії Е.Бевіна в Палаті громад британського парламенту з пропозицією створити Союз західних країн. Підтримавши цю пропозицію, Великобританія, Франція, Бельгія, Нідерланди і Люксембург закріпили її в Брюссельському договорі.</w:t>
      </w:r>
    </w:p>
    <w:p w14:paraId="00000064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Держави, що підписали Брюссельський договір, запросили Данію, Ісландію, Італію, Норвегію і Португалію взяти участь у цьому процесі. Переговори зазначених країн тривали протягом липня 1948 р. - лютого 1949 р. Кульмінацією цих переговорів було досягнення 4 квітня 1949 р. всіх домовленостей та підписання Північно- атлантичного (Вашингтонського) договору за участю країн Бенілюксу, Великобританії, Данії, Ісландії, Італії, Канади, Норвегії, Португалії, США та Франції, що започаткував спільну систему безпеки на основі партнерства цих дванадцяти країн [7, с. 186].</w:t>
      </w:r>
    </w:p>
    <w:p w14:paraId="00000065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4 квітня 1949 р. у Вашингтоні було укладено Договір про створення Північноатлантичного альянсу. У цьому договорі Сторони зобов’язалися:</w:t>
      </w:r>
    </w:p>
    <w:p w14:paraId="00000066" w14:textId="77777777" w:rsidR="00C77AF3" w:rsidRPr="00D470C9" w:rsidRDefault="00D05FB2" w:rsidP="00C305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вирішувати всі міжнародні спори, учасниками яких вони можуть стати, мирними засобами і таким чином, щоб не ставити під загрозу міжнародний мир, безпеку та справедливість;</w:t>
      </w:r>
    </w:p>
    <w:p w14:paraId="00000067" w14:textId="77777777" w:rsidR="00C77AF3" w:rsidRPr="00D470C9" w:rsidRDefault="00D05FB2" w:rsidP="00C305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утримуватись у своїх міжнародних відносинах від погроз силою чи застосування сили у будь-який спосіб, несумісний з цілями Організації Об’єднаних Націй;</w:t>
      </w:r>
    </w:p>
    <w:p w14:paraId="00000081" w14:textId="2B716AA6" w:rsidR="00C77AF3" w:rsidRPr="00D470C9" w:rsidRDefault="00C305BE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РОЗДІЛ 2. </w:t>
      </w:r>
    </w:p>
    <w:p w14:paraId="00000082" w14:textId="245ADBF6" w:rsidR="00C77AF3" w:rsidRPr="00D470C9" w:rsidRDefault="00C305BE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ОСНОВНІ НАПРЯМКИ ВЗАЄМОДІЇ НАТО І ОБСЄ У СУЧАСНІЙ МІЖНАРОДНІЙ СИСТЕМІ</w:t>
      </w:r>
    </w:p>
    <w:p w14:paraId="00000083" w14:textId="77777777" w:rsidR="00C77AF3" w:rsidRPr="00D470C9" w:rsidRDefault="00C77AF3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84" w14:textId="102CFF1A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2.1. Характеристика ключових аспектів взаємодії ОБСЄ і НАТО на міжнародній арені</w:t>
      </w:r>
    </w:p>
    <w:p w14:paraId="29434896" w14:textId="77777777" w:rsidR="005E5AD9" w:rsidRPr="00D470C9" w:rsidRDefault="005E5AD9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85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ОБСЄ і НАТО співпрацюють як на політичному, так і на оперативному рівнях у таких сферах, як попередження конфліктів, кризове врегулювання, а також при реагуванні на нові безпекові виклики. Члени НАТО наголошують на важливості ОБСЄ як регіональної безпекової організації, форуму для обговорення питань, важливих для євроатлантичної безпеки. НАТО та ОБСЄ проводять консультації з питань регіональної безпеки, а також співпрацюють у сфері попередження конфліктів, при кризовому врегулюванні та посткризовому відновленні.</w:t>
      </w:r>
    </w:p>
    <w:p w14:paraId="00000086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Відбувається постійний обмін інформацією між НАТО та ОБСЄ з питань безпеки кордонів, контролю за озброєннями, енергетичної безпеки, тероризму. Тісна співпраця між НАТО, ЄС та ОБСЄ є елементом побудови «цілісного підходу» (Comprehensive Approach) до кризового врегулювання, що потребує ефективного застосування як воєнних, так і цивільних засобів. Регулярна співпраця ОБСЄ з НАТО, ЄС, ООН, РЄ доповнюється контактами з такими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регіональними організаціями, як ШОС, АСЕАН, Африканський Союз та ін [1, с. 113].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0000008A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8B" w14:textId="2D83E74A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2.2. Взаємодія ОБСЄ і НАТО у забезпеченні соціогуманітарної безпеки</w:t>
      </w:r>
    </w:p>
    <w:p w14:paraId="0000008C" w14:textId="5D429FBE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8D" w14:textId="7D929A31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 системі міжнародних регіональних безпекових організацій, які працюють над вирішенням проблем безпеки і співробітництва у різних сферах, зокрема економічній, соціальній, гуманітарній, провідне місце належить ОБСЄ. Будучи найбільшою регіональною міжурядовою організацією, ОБСЄ об’єднала 57 держав Європи, Центральної Азії, Північної Америки для поглиблення діалогу і пошуку механізмів ефективного реагування на виклики та загрози безпеці, забезпечення миру, демократії та стабільності, проводячи роботу у трьох вимірах: воєнно-політичному, економіко- екологічному і гуманітарному, на засадах відданості спільним цінностям та шляхом спільних дій, співпраці й солідарності.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0000008E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Міжнародні підходи до гуманітарного виміру безпеки знайшли розвиток у положеннях Документу Копенгагенської наради Конференції щодо людського виміру НБСЄ (1990 р.), Доповіді Наради експертів із питань національних меншин (Женева, 1991 р.) тощо [11, с. 87].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14:paraId="00000095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2.3. Особливості взаємодії ОБСЄ і НАТО у сфері миротворчості</w:t>
      </w:r>
    </w:p>
    <w:p w14:paraId="00000096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97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Десятки тисяч українських військових взяли участь у миротворчих операціях під егідою міжнародних безпекових організацій (ООН, ОБСЄ, НАТО). Завдяки активним зусиллям у врегулюванні військових конфліктів, участі представників Збройних сил та Міністерства внутрішніх справ у міжнародних миротворчих місіях Україна засвідчила неупередженість і послідовність своєї зовнішньої політики та набула значного авторитету як контрибутор міжнародної та регіональної безпеки.</w:t>
      </w:r>
    </w:p>
    <w:p w14:paraId="00000098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Характерною особливістю розвитку теорії та практики миротворчості стала її регіоналізація, пов’язана із неспроможністю ООН своєчасно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попереджувати й ліквідовувати джерела конфліктів. Цим фактом можна пояснити зростаючу роль регіональних безпекових організацій (ОБСЄ, ЄС, НАТО, СНД, Африканський Союз), що поступово витісняють ООН з миротворчої діяльності на локальному рівні.</w:t>
      </w:r>
    </w:p>
    <w:p w14:paraId="00000099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Загалом можна стверджувати, що в українському законодавстві формуються системні підходи щодо участі у миротворчості під егідою ООН, ОБСЄ, ЄС. Однак удосконалення нормативно-правової бази необхідне й по лінії співпраці з питань миротворчої діяльності Україна-НАТО, як того вимагає Хартія про особливе партнерство [13, с. 186].</w:t>
      </w:r>
    </w:p>
    <w:p w14:paraId="000000A4" w14:textId="77777777" w:rsidR="00C77AF3" w:rsidRPr="00D470C9" w:rsidRDefault="00C77AF3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A5" w14:textId="2456993C" w:rsidR="00C77AF3" w:rsidRPr="00D470C9" w:rsidRDefault="00C305BE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РОЗДІЛ 3. </w:t>
      </w:r>
    </w:p>
    <w:p w14:paraId="000000A6" w14:textId="4D2843F0" w:rsidR="00C77AF3" w:rsidRPr="00D470C9" w:rsidRDefault="00C305BE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ДІЯЛЬНІСТЬ ОБСЄ ТА НАТО НА МІЖНАРОДНІЙ АРЕНІ: СУЧАСНИЙ СТАН ТА ПЕРСПЕКТИВИ РОЗВИТКУ</w:t>
      </w:r>
    </w:p>
    <w:p w14:paraId="000000A7" w14:textId="77777777" w:rsidR="00C77AF3" w:rsidRPr="00D470C9" w:rsidRDefault="00C77AF3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A8" w14:textId="6ABB2170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3.1. Сучасний стан і перспективні напрямки діяльності ОБСЄ</w:t>
      </w:r>
    </w:p>
    <w:p w14:paraId="27FEA872" w14:textId="77777777" w:rsidR="00725BFA" w:rsidRPr="00D470C9" w:rsidRDefault="00725BFA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A9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Розпочавши свою діяльність 1973 р. у якості міжнародної Наради з безпеки і співробітництва в Європі (НБСЄ) організація за чотири десятиліття перетворилася з суто європейської регіональної на структуру, що впливає на стан міжнародної безпеки в цілому [14, с. 104].</w:t>
      </w:r>
    </w:p>
    <w:p w14:paraId="000000AA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Здійснений аналіз сучасного стану ОБСЄ свідчить про необхідність її модернізації як складника регіональної європейської безпеки з метою забезпечення системи міжнародної безпеки в цілому. За роки існування ОБСЄ продемонструвала свою зростаючу політичну безпорадність однією з причин якої виявилася відсутність власної військово-силової компоненти, без якої брати участь у розв’язанні проблем європейської безпеки у ХХI столітті неможливо. Внаслідок цього, на думку автора, організація залишається «мандатом без сили» [14, с. 114].</w:t>
      </w:r>
    </w:p>
    <w:p w14:paraId="000000AE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AF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3.2. Характеристика перспективних напрямків діяльності НАТО на міжнародній арені</w:t>
      </w:r>
    </w:p>
    <w:p w14:paraId="000000B0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B1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Діяльність НАТО вже не обмежується лише Європою. З 1990-1991 років Альянс поступово збільшував зв'язок з іншими країнами. Він допоміг ООН шляхом направлення миротворчих сил та миротворчих операцій. Перша співпраця з ООН відбулася в Югославії у 1992 році. Після цього вона розпочала миротворчу діяльність поза Європою, направляючи війська до Іраку, Афганістану, Судану, Косово та інших держав.</w:t>
      </w:r>
    </w:p>
    <w:p w14:paraId="000000B2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Згодом НАТО довелося вдатися до розширення своєї ролі, аби включитися у війну з тероризмом на міжнародному рівні після теракту 11 вересня 2001 року на світовий торговий центр, який розцінювався як напад на Сполучені Штати [17].</w:t>
      </w:r>
    </w:p>
    <w:p w14:paraId="000000B3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 обставин поточного різноманіття сучасного виду загроз перед НАТО, як безпековою організацією, постає важливе завдання визначення своєї нової місії на міжнародній арені. Відтак, за даними офіційного веб-сайту НАТО, мета організації полягає в гарантуванні свободи та безпеки своїх членів політичними та військовими засобами. До політичних відноситься пропагування демократичних цінностей та надання можливості членам консультуватися й співпрацювати з питань оборони та безпеки, щоб вирішувати проблеми, вибудовувати довіру і, зрештою, запобігати конфліктам. У рамках військових засобів НАТО прагне мирного вирішення суперечок. Якщо дипломатичні зусилля зазнають невдач, організація має повноваження проводити військові операції з управління кризовими ситуаціями. Вони провадяться відповідно до пункту колективного захисту установчого договору НАТО – Статті 5 Вашингтонського договору, або за мандатом Організації Об'єднаних Націй, окремо чи у кооперації з іншими країнами та міжнародними організаціями [3].</w:t>
      </w:r>
    </w:p>
    <w:p w14:paraId="000000B8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B9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3.3. Перспектива поглиблення відносин ОБСЄ і НАТО у ключових аспектах взаємодії</w:t>
      </w:r>
    </w:p>
    <w:p w14:paraId="000000BA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BB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практичного оформлення єдиного простору безпеки від Лісабону до Владивостоку ОБСЄ буде необхідно знайти формат ефективної співпраці з існуючими військово-політичними і безпековими організаціями, що вже діють на теренах Європи (йдеться, передусім, про НАТО та ОДКБ) [10, с. 36]. </w:t>
      </w:r>
    </w:p>
    <w:p w14:paraId="000000BC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умовах масштабного розширення НАТО та ЄС за рахунок країн центральної та південно-східної Європи можна очікувати що саме ці організації відіграватимуть ключову роль у системі європейської безпеки як більш потужні у своїх можливостях і значно краще забезпечені різними ресурсами [10, с. 37]. </w:t>
      </w:r>
    </w:p>
    <w:p w14:paraId="000000D2" w14:textId="77777777" w:rsidR="00C77AF3" w:rsidRPr="00D470C9" w:rsidRDefault="00D05FB2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ВИСНОВКИ</w:t>
      </w:r>
    </w:p>
    <w:p w14:paraId="000000D3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D4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Відповідно до поставлених завдань, було всебічно розглянуто сучасний стан та перспективи співробітництва ОБСЄ та НАТО.</w:t>
      </w:r>
    </w:p>
    <w:p w14:paraId="000000D5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Підписання Північноатлантичної угоди і створення Альянсу безпосередньо пов'язані з подіями, що відбувалися у світі після Другої світової війни, бо ООН не могла вирішити поставлені перед нею проблеми. А ОБСЄ була створена в 1975 році в якості головного інструмента для попередження, запобігання конфліктів і врегулювання криз у Європі.</w:t>
      </w:r>
    </w:p>
    <w:p w14:paraId="000000D6" w14:textId="77777777" w:rsidR="00C77AF3" w:rsidRPr="00D470C9" w:rsidRDefault="00D05FB2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Правові основи діяльності ОБСЄ затверджено в Віденському документі 1990 р., Гельсінському Заключному акті, документі Копенгагенської наради Конференції з людського виміру НБСЄ, документі Московської конференції з людського виміру НБСЄ, Будапештських рішеннях 1994 р. Основною базою функціонування НАТО є Декларація саміту НАТО в Страсбурзі, Комплексна політична директива, Декларація Бухарестського саміту, Наукова програма НАТО, Декларація Ризького саміту, Програма НАТО «Партнерство заради миру та концепція оборони і безпеки членів Організації Північноатлантичного договору «Активне залучення, сучасна оборона», прийнята главами держав та урядів у Лісабоні від 19 листопада 2010 року.</w:t>
      </w:r>
    </w:p>
    <w:p w14:paraId="000000E1" w14:textId="391532B4" w:rsidR="00C77AF3" w:rsidRDefault="00D05FB2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СПИСОК ВИКОРИСТАНИХ ДЖЕРЕЛ</w:t>
      </w:r>
    </w:p>
    <w:p w14:paraId="7F58B0F0" w14:textId="77777777" w:rsidR="00C305BE" w:rsidRPr="00D470C9" w:rsidRDefault="00C305BE" w:rsidP="00C305B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E2" w14:textId="2B952291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Парахонський Б. О., Яворська Г. М. Роль ОБСЄ у формуванні європейського середовища безпеки.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Стратегічні пріоритети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C305BE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2013.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№3. С. 109-114.</w:t>
      </w:r>
    </w:p>
    <w:p w14:paraId="000000E3" w14:textId="57B77A84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Анісов О. А. Трансформація ролі НАТО в сучасній системі міжнародної безпеки</w:t>
      </w:r>
      <w:r w:rsidRPr="00C305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. Вісник студентського наукового товариства ДонНУ імені Василя Стуса. </w:t>
      </w:r>
      <w:r w:rsidR="00C305BE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2020.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№ 12. С. 7-11.</w:t>
      </w:r>
    </w:p>
    <w:p w14:paraId="000000E4" w14:textId="77777777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Who is NATO? NATO’s official Website.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URL: https://www.nato.int/nato-welcome/index.html (Дата звернення: 06.12.2020).</w:t>
      </w:r>
    </w:p>
    <w:p w14:paraId="000000E5" w14:textId="77777777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Козак Д. О., Корнієнко В. О. Виникнення та еволюція Північноатлантичного альянсу. </w:t>
      </w:r>
      <w:r w:rsidRPr="00C305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Вінницький національний технічний університет.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2020. С. 3.</w:t>
      </w:r>
    </w:p>
    <w:p w14:paraId="000000E6" w14:textId="2DFE37B3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Фалалєєва В. Особливості організація та діяльності ОБСЄ в умовах загострення невоєнних загроз.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Вісник Академії адвокатури України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C305BE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2013.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№2. С.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136-145.</w:t>
      </w:r>
    </w:p>
    <w:p w14:paraId="000000E7" w14:textId="6AAA5E9F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Сироїд Т. Л. Правова основа та механізми захисту прав людини на міжнародному регіональному рівні.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Вісник АМСУ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C305BE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2014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№ 1. С. 79-86.</w:t>
      </w:r>
    </w:p>
    <w:p w14:paraId="000000E8" w14:textId="30004752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Грицяк І., Камінська Т. Створення, розширення ат діяльність Північноатлантичного альянсу (НАТО).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Вісник Національної академії державного управління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C305BE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2013.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№ 3. С. 183-194.</w:t>
      </w:r>
    </w:p>
    <w:p w14:paraId="000000E9" w14:textId="77777777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Грачевська Т. О. Особливості нормативно-правовоъ регламентацыъ двостороннього співробітництва України і НАТО.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Вісник Донецького національного університету імені Василя Стуса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 2017. С. 42-46.</w:t>
      </w:r>
    </w:p>
    <w:p w14:paraId="000000EA" w14:textId="5F510520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Північноатлантичний Альянс: історія, функції, структура та відносини з Україною. Навчальний посібник для студентів вищих навчальних закладів, слухачів магістерської підготовки за напрямом «Державне управління» та системи підвищення кваліфікації державних службовців. Івано-Франківськ.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2013. С. 61-66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</w:t>
      </w:r>
    </w:p>
    <w:p w14:paraId="000000EB" w14:textId="77777777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Єрмолаєв А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Кононенко К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Резнікова О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Парахонський Б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Яворська Г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Рукомеда Р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Литвиненко О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Паламарчук М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Горовенко В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Семененко В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Гончарук А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.,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Соболєв А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ОБСЄ</w:t>
      </w:r>
      <w:r w:rsidRPr="00D47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: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сучасні виклики та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перспективи розвитку. Аналітична доповідь. Національний інститут стратегічних досліджень. Київ. 2013. С. 52.</w:t>
      </w:r>
    </w:p>
    <w:p w14:paraId="000000EC" w14:textId="5B8C63A5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Горбатюк С. Роль організації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з безпеки та співробітництва в Європі у системі забезпечення соціогуманітарної безпеки.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Ефективність державного управління.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№ 2. 2017. С. 86-94.</w:t>
      </w:r>
    </w:p>
    <w:p w14:paraId="000000ED" w14:textId="77777777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Феденко О. В. Миротворча діяльність України як критерій готовності її збройних сил.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Військово-науковий вісник.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2012. С. 97-107.</w:t>
      </w:r>
    </w:p>
    <w:p w14:paraId="000000EE" w14:textId="1BC5E623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Котялянець О. О. Актуальні питання розвитку міжнародної миротворчої діяльності України. Стратегічні пріоритети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. </w:t>
      </w:r>
      <w:r w:rsidR="00C305BE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2012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 № 2. С. 185-190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</w:t>
      </w:r>
    </w:p>
    <w:p w14:paraId="000000EF" w14:textId="1D8C6B49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Коломієць О. В. Імперативи реформування ОБСЄ як чинник стабілізації системи європейської безпеки.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Сучасне суспільство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 № 2. 2016. С.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 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102-117.</w:t>
      </w:r>
    </w:p>
    <w:p w14:paraId="000000F0" w14:textId="58F18AE6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Ільницька У. Україна-ОБСЄ: активізація співробітництва у формуванні європейської системи безпеки і стабільності.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Українська національна ідея: реалії та перспективи розвитку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C305BE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2015.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№ 27. С. 115-121.</w:t>
      </w:r>
    </w:p>
    <w:p w14:paraId="000000F1" w14:textId="1A12A580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Панченко Д. Ю., Скринник В. С. Роль ОБСЄ у формуванні європейського середовища безпеки в умовах сучасних викликів. </w:t>
      </w:r>
      <w:r w:rsidRPr="00D470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</w:rPr>
        <w:t>Вісник Харківського національного університету імені В. Н. Каразіна.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Харків. 2019. С.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 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3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</w:t>
      </w:r>
    </w:p>
    <w:p w14:paraId="000000F2" w14:textId="6EF3EC53" w:rsidR="00C77AF3" w:rsidRPr="00D470C9" w:rsidRDefault="00D470C9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05FB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Operations and missions: past and present. NATO’s official Website. URL: https://www.nato.int/cps/uk/natohq/topics_52060.htm?selectedLocale=en (</w:t>
      </w:r>
      <w:r w:rsidR="00D05FB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Дата</w:t>
      </w:r>
      <w:r w:rsidR="00D05FB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 </w:t>
      </w:r>
      <w:r w:rsidR="00D05FB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звернення</w:t>
      </w:r>
      <w:r w:rsidR="00D05FB2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: 06.12.2020).</w:t>
      </w:r>
    </w:p>
    <w:p w14:paraId="000000F4" w14:textId="1D85EE53" w:rsidR="00C77AF3" w:rsidRPr="00C305BE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  <w:r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 Official text: The North Atlantic Treaty, Washington D.C. – 4 April 1949. NATO's official website.</w:t>
      </w:r>
      <w:r w:rsid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URL: https://www.nato.int/cps/en/natolive/official_texts_17120.htm</w:t>
      </w:r>
      <w:r w:rsidR="00D470C9"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 </w:t>
      </w:r>
      <w:r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(</w:t>
      </w:r>
      <w:r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Дата</w:t>
      </w:r>
      <w:r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 </w:t>
      </w:r>
      <w:r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звернення</w:t>
      </w:r>
      <w:r w:rsidRPr="00C305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: 06.12.2020).</w:t>
      </w:r>
    </w:p>
    <w:p w14:paraId="000000F5" w14:textId="3008BA0E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Countering Terrorism. Topics. NATO’s official website.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URL: https://www.nato.int/cps/en/natohq/topics_77646.htm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(Дата звернення: 06.12.2020).</w:t>
      </w:r>
    </w:p>
    <w:p w14:paraId="000000F6" w14:textId="42B41F8C" w:rsidR="00C77AF3" w:rsidRPr="00D470C9" w:rsidRDefault="00D05FB2" w:rsidP="00C305B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Statement by the North Atlantic Council on the Intermediate-Range Nuclear Forces Treaty. NATO: Official Texts.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URL: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lastRenderedPageBreak/>
        <w:t>https://www.nato.int/cps/en/natohq/official_texts_168164.htm?selectedLocale=en</w:t>
      </w:r>
      <w:r w:rsidR="00D470C9"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(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Дата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 xml:space="preserve"> 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звернення</w:t>
      </w:r>
      <w:r w:rsidRPr="00D470C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: 06.12.2020).</w:t>
      </w:r>
    </w:p>
    <w:p w14:paraId="000000F7" w14:textId="77777777" w:rsidR="00C77AF3" w:rsidRPr="00D470C9" w:rsidRDefault="00C77AF3" w:rsidP="00C30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</w:p>
    <w:sectPr w:rsidR="00C77AF3" w:rsidRPr="00D470C9" w:rsidSect="00C305BE">
      <w:headerReference w:type="even" r:id="rId8"/>
      <w:headerReference w:type="default" r:id="rId9"/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D3377" w14:textId="77777777" w:rsidR="00462A12" w:rsidRDefault="00462A12">
      <w:pPr>
        <w:spacing w:line="240" w:lineRule="auto"/>
      </w:pPr>
      <w:r>
        <w:separator/>
      </w:r>
    </w:p>
  </w:endnote>
  <w:endnote w:type="continuationSeparator" w:id="0">
    <w:p w14:paraId="4F13EF75" w14:textId="77777777" w:rsidR="00462A12" w:rsidRDefault="0046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74280" w14:textId="77777777" w:rsidR="00462A12" w:rsidRDefault="00462A12">
      <w:pPr>
        <w:spacing w:line="240" w:lineRule="auto"/>
      </w:pPr>
      <w:r>
        <w:separator/>
      </w:r>
    </w:p>
  </w:footnote>
  <w:footnote w:type="continuationSeparator" w:id="0">
    <w:p w14:paraId="6C6FC6FE" w14:textId="77777777" w:rsidR="00462A12" w:rsidRDefault="0046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64079914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3FCAAA6" w14:textId="74A7CDB1" w:rsidR="004921E5" w:rsidRDefault="004921E5" w:rsidP="00147351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5C643FC" w14:textId="77777777" w:rsidR="004921E5" w:rsidRDefault="004921E5" w:rsidP="004921E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70389765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4F58BE71" w14:textId="493C70F7" w:rsidR="004921E5" w:rsidRDefault="004921E5" w:rsidP="00147351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30</w:t>
        </w:r>
        <w:r>
          <w:rPr>
            <w:rStyle w:val="a9"/>
          </w:rPr>
          <w:fldChar w:fldCharType="end"/>
        </w:r>
      </w:p>
    </w:sdtContent>
  </w:sdt>
  <w:p w14:paraId="73675D39" w14:textId="77777777" w:rsidR="004921E5" w:rsidRDefault="004921E5" w:rsidP="00D470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C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495D4A"/>
    <w:multiLevelType w:val="multilevel"/>
    <w:tmpl w:val="69507E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995A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8E71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F3"/>
    <w:rsid w:val="0003796D"/>
    <w:rsid w:val="00053CA5"/>
    <w:rsid w:val="001B2A01"/>
    <w:rsid w:val="003E5C3E"/>
    <w:rsid w:val="00462A12"/>
    <w:rsid w:val="004921E5"/>
    <w:rsid w:val="00505F98"/>
    <w:rsid w:val="00537E2E"/>
    <w:rsid w:val="005E5AD9"/>
    <w:rsid w:val="006243E2"/>
    <w:rsid w:val="00631B9F"/>
    <w:rsid w:val="00725BFA"/>
    <w:rsid w:val="00732621"/>
    <w:rsid w:val="007B166C"/>
    <w:rsid w:val="008549DD"/>
    <w:rsid w:val="00A66EB2"/>
    <w:rsid w:val="00C305BE"/>
    <w:rsid w:val="00C77AF3"/>
    <w:rsid w:val="00D05FB2"/>
    <w:rsid w:val="00D470C9"/>
    <w:rsid w:val="00E865D5"/>
    <w:rsid w:val="00E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869A"/>
  <w15:docId w15:val="{ED644698-2DD2-DC43-96BE-896A42B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921E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1E5"/>
  </w:style>
  <w:style w:type="paragraph" w:styleId="a7">
    <w:name w:val="footer"/>
    <w:basedOn w:val="a"/>
    <w:link w:val="a8"/>
    <w:uiPriority w:val="99"/>
    <w:unhideWhenUsed/>
    <w:rsid w:val="004921E5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1E5"/>
  </w:style>
  <w:style w:type="character" w:styleId="a9">
    <w:name w:val="page number"/>
    <w:basedOn w:val="a0"/>
    <w:uiPriority w:val="99"/>
    <w:semiHidden/>
    <w:unhideWhenUsed/>
    <w:rsid w:val="004921E5"/>
  </w:style>
  <w:style w:type="paragraph" w:styleId="aa">
    <w:name w:val="List Paragraph"/>
    <w:basedOn w:val="a"/>
    <w:uiPriority w:val="34"/>
    <w:qFormat/>
    <w:rsid w:val="00D4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AED6-B1A4-4DF6-84D6-B98BE7F4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2020-12-06T13:36:00Z</dcterms:created>
  <dcterms:modified xsi:type="dcterms:W3CDTF">2020-12-07T11:18:00Z</dcterms:modified>
</cp:coreProperties>
</file>