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D4" w:rsidRPr="004D1272" w:rsidRDefault="00F46DFB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ЗМІ</w:t>
      </w:r>
      <w:proofErr w:type="gramStart"/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proofErr w:type="gramEnd"/>
    </w:p>
    <w:p w:rsidR="00464DD4" w:rsidRPr="004D1272" w:rsidRDefault="00464DD4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D4" w:rsidRPr="004D1272" w:rsidRDefault="004D1272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ВСТУП…………</w:t>
      </w:r>
      <w:r w:rsidR="00F46DFB" w:rsidRPr="004D1272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</w:t>
      </w:r>
      <w:r w:rsidR="004F695E" w:rsidRPr="004D1272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4F695E" w:rsidRPr="004D1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………..3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РОЗДІЛ 1. ТИПОЛОГІЗАЦІЯ КОНФЛІКТІВ НА ПОС</w:t>
      </w:r>
      <w:r w:rsidR="004D1272">
        <w:rPr>
          <w:rFonts w:ascii="Times New Roman" w:eastAsia="Times New Roman" w:hAnsi="Times New Roman" w:cs="Times New Roman"/>
          <w:b/>
          <w:sz w:val="28"/>
          <w:szCs w:val="28"/>
        </w:rPr>
        <w:t>ТРАДЯНСЬКОМУ ПРОСТОРІ……………</w:t>
      </w: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……………………</w:t>
      </w:r>
      <w:r w:rsidR="004F695E" w:rsidRPr="004D1272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4F695E" w:rsidRPr="004D1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………</w:t>
      </w:r>
      <w:r w:rsidR="001D4FF2" w:rsidRPr="004D1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ричини </w:t>
      </w:r>
      <w:r w:rsidR="004D1272">
        <w:rPr>
          <w:rFonts w:ascii="Times New Roman" w:eastAsia="Times New Roman" w:hAnsi="Times New Roman" w:cs="Times New Roman"/>
          <w:sz w:val="28"/>
          <w:szCs w:val="28"/>
        </w:rPr>
        <w:t>та витоки конфліктів………………………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1D4FF2" w:rsidRPr="004D127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1D4FF2" w:rsidRPr="004D1272">
        <w:rPr>
          <w:rFonts w:ascii="Times New Roman" w:eastAsia="Times New Roman" w:hAnsi="Times New Roman" w:cs="Times New Roman"/>
          <w:sz w:val="28"/>
          <w:szCs w:val="28"/>
          <w:lang w:val="uk-UA"/>
        </w:rPr>
        <w:t>…….5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1.2 Участь України у врегулюван</w:t>
      </w:r>
      <w:r w:rsidR="004D1272">
        <w:rPr>
          <w:rFonts w:ascii="Times New Roman" w:eastAsia="Times New Roman" w:hAnsi="Times New Roman" w:cs="Times New Roman"/>
          <w:sz w:val="28"/>
          <w:szCs w:val="28"/>
        </w:rPr>
        <w:t>ні етнополітичних конфліктів……</w:t>
      </w:r>
      <w:r w:rsidR="001D4FF2" w:rsidRPr="004D1272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DF3D45" w:rsidRPr="004D1272">
        <w:rPr>
          <w:rFonts w:ascii="Times New Roman" w:eastAsia="Times New Roman" w:hAnsi="Times New Roman" w:cs="Times New Roman"/>
          <w:sz w:val="28"/>
          <w:szCs w:val="28"/>
          <w:lang w:val="uk-UA"/>
        </w:rPr>
        <w:t>..16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РОЗДІЛ 2. ПОЛІТИКА РОСІЙСЬКОЇ ФЕДЕРАЦІЇ ЩОДО КОНФЛІКТІВ НА ПОСТР</w:t>
      </w:r>
      <w:r w:rsidR="004D1272">
        <w:rPr>
          <w:rFonts w:ascii="Times New Roman" w:eastAsia="Times New Roman" w:hAnsi="Times New Roman" w:cs="Times New Roman"/>
          <w:b/>
          <w:sz w:val="28"/>
          <w:szCs w:val="28"/>
        </w:rPr>
        <w:t>АДЯНСЬКОМУ ПРОСТОРІ………………</w:t>
      </w:r>
      <w:r w:rsidR="00DF3D45" w:rsidRPr="004D1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……20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РОЗДІЛ 3. ДІЯЛЬНІСТЬ ООН ТА ОБСЄ У ВРЕГУЛЮВАННІ КОНФЛІКТІВ НА</w:t>
      </w:r>
      <w:r w:rsidR="004D127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ПОСТРАДЯНСЬКОМУ ПРОСТОРІ…………</w:t>
      </w:r>
      <w:r w:rsidR="00DF3D45" w:rsidRPr="004D1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…………25</w:t>
      </w:r>
    </w:p>
    <w:p w:rsidR="00464DD4" w:rsidRPr="004D1272" w:rsidRDefault="004D1272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ВИСНОВКИ…………………</w:t>
      </w:r>
      <w:r w:rsidR="00F46DFB" w:rsidRPr="004D1272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………………………………………...</w:t>
      </w:r>
      <w:r w:rsidR="00DF3D45" w:rsidRPr="004D1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........29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СПИ</w:t>
      </w:r>
      <w:r w:rsidR="004D1272">
        <w:rPr>
          <w:rFonts w:ascii="Times New Roman" w:eastAsia="Times New Roman" w:hAnsi="Times New Roman" w:cs="Times New Roman"/>
          <w:b/>
          <w:sz w:val="28"/>
          <w:szCs w:val="28"/>
        </w:rPr>
        <w:t>СОК ВИКОРИСТАНИХ ДЖЕРЕЛ……………</w:t>
      </w: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…………</w:t>
      </w:r>
      <w:r w:rsidR="00DF3D45" w:rsidRPr="004D1272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DF3D45" w:rsidRPr="004D12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……..31</w:t>
      </w:r>
    </w:p>
    <w:p w:rsidR="00464DD4" w:rsidRPr="004D1272" w:rsidRDefault="004D1272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proofErr w:type="gramStart"/>
      <w:r w:rsidR="00F46DFB" w:rsidRPr="004D12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  <w:proofErr w:type="gramEnd"/>
    </w:p>
    <w:p w:rsidR="00464DD4" w:rsidRPr="004D1272" w:rsidRDefault="00464DD4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Актуальність </w:t>
      </w:r>
      <w:proofErr w:type="gramStart"/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досл</w:t>
      </w:r>
      <w:proofErr w:type="gramEnd"/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 xml:space="preserve">ідження. 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>Аналіз причин та наслідків конфліктів пострадянському просторі показує, що основним геополітичним гравцем на терені колишнього СРСР залишається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осійська Федерація, яка зацікавлена: у збереженні військових баз для гарантування безпеки своїх флангів, збереженні залежності пострадянських держав від постачання російських енергоносіїв і контролі над їх енергетичними системами, зменшенні впливу Заходу в країнах колишнього СРСР шляхом визнання і підтримання життєдіяльності самопроголошених республік. Збереження статусу ключової фігури на пострадянському просторі дозволя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є Р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осії суттєво обмежувати євроінтеграційні прагнення таких країн-учасниць програми Євросоюзу «Східне партнерство» як Азербайджан, Вірменія, Грузія, Молдова й Україна та гальмувати процес посилення впливу НАТО і США на терені СНД. Такі претенз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ії Р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осії, безумовно, призведуть до зіткнення інтересів, а отже, й до поновлення небезпеки регіональної конфронтації в Європі. За таких умов роль неврегульованих конфліктів, а також їх вплив на міжнародні процеси суттєво зростають.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дослідження полягає в аналізі конфліктів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1990-ті роки.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Об’єктом курсової роботи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є суспільні відносини, які виникають на пострадянському просторі в результаті конфлікту.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Предметом роботи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є конфлікти на пострадянському просторі в 1990-ті роки.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Структура та обсяг курсової роботи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>, відповідно до мети, складається з 3 розділів, висновкі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та списку використаних джерел.</w:t>
      </w:r>
    </w:p>
    <w:p w:rsidR="00464DD4" w:rsidRPr="004D1272" w:rsidRDefault="004D1272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F46DFB" w:rsidRPr="004D12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РОЗДІЛ 1. ТИПОЛОГІЗАЦІЯ КОНФЛІКТІВ НА ПОСТРАДЯНСЬКОМУ ПРОСТОРІ </w:t>
      </w:r>
    </w:p>
    <w:p w:rsidR="00464DD4" w:rsidRPr="004D1272" w:rsidRDefault="00464DD4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proofErr w:type="gramStart"/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ричини та витоки конфліктів</w:t>
      </w:r>
    </w:p>
    <w:p w:rsidR="00464DD4" w:rsidRPr="004D1272" w:rsidRDefault="00464DD4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Загалом причини конфліктів можна розділити на дві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велик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і групи: об’єктивні та суб’єктивні. Об’єктивними причинами конфліктів вважають ті обставини взаємодії людей, що призводять до зіткнення їхніх думок, інтересів, цінностей тощо. Суб’єктивні причини конфліктів обумовлено індиві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дуально-психолог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ічними особливостями людей, що взаємодіють між собою.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ідники конфліктів пропонують наступну класифікацію причин конфліктів.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Причини об’єктивного характеру: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об’єктивні фактори: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• обмеженість ресурсі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• розходження з метою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• взаємозалежність завдань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• відсутність об’єктивних критеріїв оцінювання роботи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• нестача життєво важливих благ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• незадовільні комунікації</w:t>
      </w:r>
    </w:p>
    <w:p w:rsidR="004D1272" w:rsidRDefault="004D1272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1.2 Участь України у врегулюванні етнополітичних конфлікті</w:t>
      </w:r>
      <w:proofErr w:type="gramStart"/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464DD4" w:rsidRPr="004D1272" w:rsidRDefault="00464DD4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Більшість сучасних держав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іту є поліетнічними та багатонаціональними, що безперечно впливає на тенденції розвитку міжнародних відносин.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одного боку, увесь світ перебуває в процесі економічної, політичної, культурної, соціальної інтеграції, а, з другого боку зростає гострота питання щодо права національних меншин на самовизначення, їх прагнення зберегти власні культурні цінності та боротьба за право самостійного прийняття рішень, автономію або ж і за повне відокремлення.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умовах постійно зростаючої міжетнічної нетерпимості в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ізних регіонах світу, управління етнополітичними конфліктами повинно бути одним із пріоритетних напрямів у визначенні внутрішньої політики держав.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Через зростання ролі взаємозалежності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іту, причина якої полягає в інтенсифікації спілкування, прискоренні обміну думками, ідеями, варто зазначити й те, що проблеми окремих регіонів тепер стають проблемами всього світу. Сценарій розв’язання етнополітичного конфлікту в одній державі може стати прецедентом для розв’язання такої ж ситуації в іншій. Саме через це дана проблема вимагає великої уваги науковці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аналітиків [4, с. 1].</w:t>
      </w:r>
    </w:p>
    <w:p w:rsidR="00464DD4" w:rsidRPr="004D1272" w:rsidRDefault="00F46DFB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2. ПОЛІТИКА РОСІЙСЬКОЇ ФЕДЕРАЦІЇ ЩОДО КОНФЛІКТІВ НА ПОСТРАДЯНСЬКОМУ ПРОСТОРІ </w:t>
      </w:r>
    </w:p>
    <w:p w:rsidR="00464DD4" w:rsidRPr="004D1272" w:rsidRDefault="00464DD4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Однією з тенденцій розвитку геопросторової політичної (та економічної) організації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іту є формування “великих просторів” у результаті інтенсифікації регіональних інтеграційних процесів. У переважній більшості випадків процес утворення “великого простору” організовується потужною державою — регіональним лідером, що прагне зосередити у своїх руках контроль над головними потоками фінансів, товарі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та послуг. Для забезпечення латентного економічного панування “держав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центру” потрібне неформальне політичне домінування, в ідеалі поєднане ще й з культурно-цивілізаційним та інформаційним [10, с. 18].</w:t>
      </w:r>
    </w:p>
    <w:p w:rsidR="00B9346F" w:rsidRPr="004D1272" w:rsidRDefault="00F46DFB" w:rsidP="00B9346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В сучасній Росії, на відміну від Західної макроімперії, наявний по суті один головний “центр ухвалення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ішень”, котрий утворивcя на початку 2000-х років шляхом зрощування верхівки “силовиків” (особливо ФСБ) із частиною великого бізнесу — “олігархами”, що неймовірно збагатіли в пострадянську добу</w:t>
      </w:r>
    </w:p>
    <w:p w:rsidR="00464DD4" w:rsidRPr="004D1272" w:rsidRDefault="00F46DFB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РОЗДІЛ 3. ДІЯЛЬНІСТЬ ООН ТА ОБСЄ У ВРЕГУЛЮВАННІ КОНФЛІКТІВ НА ПОСТРАДЯНСЬКОМУ ПРОСТОРІ</w:t>
      </w:r>
    </w:p>
    <w:p w:rsidR="00464DD4" w:rsidRPr="004D1272" w:rsidRDefault="00464DD4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Проблема конфліктів на пострадянському просторі вже тривалий період часу залишається однією із найактуальніших політик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дипломатичних проблем для сучасної України. Саме Україна сьогодні посідає чільне місце в геополітичних інтересах та архітектоніці безпеки сучасних наддержав – США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і Р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осійської Федерації, а також – Європейського Союзу й СНД.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На сьогодні досить гостро відчувалися і відчуваються процеси, які пов‘язані з хаотизацією, поганою передбачуваністю і прогнозованістю політик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історичного розвитку буття. У стадії еволюційного розвитку превалюють процеси, які безпосередньо пов‘язані з упорядкуванням структур та їх інституціонального розвитку, а в революційній стадії, навпаки, – процеси хаотизації, які співставні з розпадом та руйнацією інституційності існуючих структур, і перш за все – державних та дипломатичних інститутів. Ця стадія, як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ідчить історичний досвід, як правило завершуються формуванням нових інституційних структур, інституцій та інститутів, новим етапом еволюційного розвитку державності. Варто відзначити, що обидва тренди розвитку – упорядкування та хаотизації – протягом усієї історії йдуть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іч-о-пліч, разом, але в той чи інший історичний період один із двох трендів превалює, при цьому не виступаючи єдиним [16, с. 73].</w:t>
      </w:r>
    </w:p>
    <w:p w:rsidR="00464DD4" w:rsidRPr="004D1272" w:rsidRDefault="00F46DFB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ВИСНОВКИ</w:t>
      </w:r>
    </w:p>
    <w:p w:rsidR="00464DD4" w:rsidRPr="004D1272" w:rsidRDefault="00464DD4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поставлених завдань було всебічно і повно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іджено конфлікти на пострадянському просторі в 1990-ті роки.</w:t>
      </w:r>
    </w:p>
    <w:p w:rsidR="00464DD4" w:rsidRPr="004D1272" w:rsidRDefault="00F46DFB" w:rsidP="004D127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Для попередження конфліктів або їх вирішення необхідно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іджувати їхню природу, особливості, способи попередження та врегулювання. Загалом причини конфліктів можна розділити на дві групи: об’єктивні та суб’єктивні. Об’єктивними причинами конфліктів вважають ті обставини взаємодії людей, що призводять до зіткнення їхніх думок, інтересі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, цінностей тощо. Суб’єктивні - обумовлено індиві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дуально-психолог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ічними особливостями людей, що взаємодіють між собою. Однак причиною більшості конфліктів є нестача чи перекручування інформації: неповні й неточні факти, чутки, зміна змісту 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(випадкова чи навмисна). Це призводить до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неправильного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сприйняття певної ситуації, неадекватної поведінки особистостей, нерозуміння, а потім і до конфліктів.</w:t>
      </w:r>
    </w:p>
    <w:p w:rsidR="00464DD4" w:rsidRPr="004D1272" w:rsidRDefault="00F46DFB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</w:t>
      </w:r>
    </w:p>
    <w:p w:rsidR="00464DD4" w:rsidRPr="004D1272" w:rsidRDefault="00464DD4" w:rsidP="004D127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Бесчекова К. О. До питання про типологію конфліктів на пострадянському просторі. </w:t>
      </w:r>
      <w:proofErr w:type="gramStart"/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існик Донецьког</w:t>
      </w:r>
      <w:r w:rsidR="004D1272" w:rsidRPr="004D1272">
        <w:rPr>
          <w:rFonts w:ascii="Times New Roman" w:eastAsia="Times New Roman" w:hAnsi="Times New Roman" w:cs="Times New Roman"/>
          <w:i/>
          <w:sz w:val="28"/>
          <w:szCs w:val="28"/>
        </w:rPr>
        <w:t>о національного університету.</w:t>
      </w:r>
      <w:r w:rsidR="004D1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272" w:rsidRPr="004D1272">
        <w:rPr>
          <w:rFonts w:ascii="Times New Roman" w:eastAsia="Times New Roman" w:hAnsi="Times New Roman" w:cs="Times New Roman"/>
          <w:sz w:val="28"/>
          <w:szCs w:val="28"/>
        </w:rPr>
        <w:t xml:space="preserve">2016. </w:t>
      </w:r>
      <w:r w:rsidR="004D12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>1. С. 68-75.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Конфлікт та його причини. Держслужбовець. № 9. URL: </w:t>
      </w:r>
      <w:hyperlink r:id="rId7"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https://i.factor.ua/ukr/journals/ds/2016/september/issue-9/article-21398.html</w:t>
        </w:r>
      </w:hyperlink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Червінка І. Етнополітичний конфлікт, його причини та типологія.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Держава і право.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2019. 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>№ 59. С. 575-582.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Панас Т. О. Еволюція шляхів урегулювання баскського етнополітичного конфлікту в Іспанії.</w:t>
      </w:r>
      <w:r w:rsidR="004D1272" w:rsidRPr="004D1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Проблеми міжнародних відносин.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Київ. КиМУ. 2012. № 4. 7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Маруховська-Картунова О. Філософсько-релігійний та політологічний виміри витокі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наук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про мир і врегулювання етнополітичних конфліктів.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Університет економіки та права «КРОК».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Київ. С. 10-19.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ідбережник Н. Нормативно-правова база публічного управління з врегулювання етнополітичних відносин в Україні.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 xml:space="preserve">Ефективність державного управління. 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2017. № 2. С. 151-159. 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ільше 90% громадян назвали себе </w:t>
      </w:r>
      <w:r w:rsidR="004D1272">
        <w:rPr>
          <w:rFonts w:ascii="Times New Roman" w:eastAsia="Times New Roman" w:hAnsi="Times New Roman" w:cs="Times New Roman"/>
          <w:sz w:val="28"/>
          <w:szCs w:val="28"/>
        </w:rPr>
        <w:t>українцями за національністю</w:t>
      </w:r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Украї</w:t>
      </w:r>
      <w:proofErr w:type="gramStart"/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нська</w:t>
      </w:r>
      <w:proofErr w:type="gramEnd"/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правда.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2017. URL: </w:t>
      </w:r>
      <w:hyperlink r:id="rId8"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http://www.pravda.com.ua/news/2017/06/17/7147226</w:t>
        </w:r>
      </w:hyperlink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>Вєтринський І. М. Геополітичні інтереси Російської Федерації в Україні. 2019. Київ. С. 420-423.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Алєксєйченко О. В. Геополітичні інтереси Російської Федерації у зоні “заморожених” конфліктів на пострадянському просторі.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Актуальні проблеми міжнародних відносин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1272" w:rsidRPr="004D1272">
        <w:rPr>
          <w:rFonts w:ascii="Times New Roman" w:eastAsia="Times New Roman" w:hAnsi="Times New Roman" w:cs="Times New Roman"/>
          <w:sz w:val="28"/>
          <w:szCs w:val="28"/>
        </w:rPr>
        <w:t xml:space="preserve">2013. 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>№ 117.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С. 8-15.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Гольцов А. Г. Геополітика Російської Федерації в пострадянському просторі.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Наукові праці МАУП.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272" w:rsidRPr="004D1272">
        <w:rPr>
          <w:rFonts w:ascii="Times New Roman" w:eastAsia="Times New Roman" w:hAnsi="Times New Roman" w:cs="Times New Roman"/>
          <w:sz w:val="28"/>
          <w:szCs w:val="28"/>
        </w:rPr>
        <w:t xml:space="preserve">2015. 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С. 17-24. 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Аверков В. Принятие внешнеполитических решений в России.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Междунар. процессы.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2012. № 2. С. 17-24.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Указ Президента РФ “Стратегия национальной безопасности Российской Федерации до 2020 года” от 12 мая 2009 г. № 537. URL: </w:t>
      </w:r>
      <w:hyperlink r:id="rId9"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http://www.scrf.gov.ru/documents/99.html</w:t>
        </w:r>
      </w:hyperlink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Заседание Международного дискуссионного клуба “Валдай” 24 октября 2014 г.</w:t>
      </w:r>
      <w:r w:rsidR="004D1272" w:rsidRPr="004D1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10"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http://www.kremlin.ru/news/46860</w:t>
        </w:r>
      </w:hyperlink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Послание Президента Федеральному Собранию 12 декабря 2013 г. URL: </w:t>
      </w:r>
      <w:hyperlink r:id="rId11"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http://www.kremlin.ru/transcripts/19825</w:t>
        </w:r>
      </w:hyperlink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Договор о Евразийском экономическом союзе. URL: </w:t>
      </w:r>
      <w:hyperlink r:id="rId12"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http://www.economy.gov.ru/wps/wcm/connect/economylib4/mer/about/structure/depSNG/agreement-eurasianeconomic-union</w:t>
        </w:r>
      </w:hyperlink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іватий В. Конференційна дипломатія в умовах конфліктів на пострадянському просторі: інституціональний та зовнішньополітичний аспекти.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Конфлікти на пострадянському просторі: глобальний та локальний виміри.</w:t>
      </w:r>
      <w:r w:rsidR="004D1272">
        <w:rPr>
          <w:rFonts w:ascii="Times New Roman" w:eastAsia="Times New Roman" w:hAnsi="Times New Roman" w:cs="Times New Roman"/>
          <w:sz w:val="28"/>
          <w:szCs w:val="28"/>
        </w:rPr>
        <w:t xml:space="preserve"> Львів</w:t>
      </w:r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>2015. С. 73-77.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Шамборовська О. Фактори впливу на розгортання та перебіг етнонаціональних конфліктів на глобальному та локальному </w:t>
      </w:r>
      <w:proofErr w:type="gramStart"/>
      <w:r w:rsidRPr="004D127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івнях.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Конфлікти на пострадянському просторі: глобальний та ло</w:t>
      </w:r>
      <w:r w:rsidR="004D1272" w:rsidRPr="004D1272">
        <w:rPr>
          <w:rFonts w:ascii="Times New Roman" w:eastAsia="Times New Roman" w:hAnsi="Times New Roman" w:cs="Times New Roman"/>
          <w:i/>
          <w:sz w:val="28"/>
          <w:szCs w:val="28"/>
        </w:rPr>
        <w:t xml:space="preserve">кальний виміри. </w:t>
      </w:r>
      <w:r w:rsidR="004D1272">
        <w:rPr>
          <w:rFonts w:ascii="Times New Roman" w:eastAsia="Times New Roman" w:hAnsi="Times New Roman" w:cs="Times New Roman"/>
          <w:sz w:val="28"/>
          <w:szCs w:val="28"/>
        </w:rPr>
        <w:t>Львів</w:t>
      </w:r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D1272">
        <w:rPr>
          <w:rFonts w:ascii="Times New Roman" w:eastAsia="Times New Roman" w:hAnsi="Times New Roman" w:cs="Times New Roman"/>
          <w:sz w:val="28"/>
          <w:szCs w:val="28"/>
        </w:rPr>
        <w:t xml:space="preserve"> 2015. С.</w:t>
      </w:r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>94-97.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Goldberg J. The Obama doctrine. The Atlantic. 2016. URL: </w:t>
      </w:r>
      <w:hyperlink r:id="rId13"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http://www.theatlantic.com/magazine/archive/2016/04/the-obama-doctrine/471525/</w:t>
        </w:r>
      </w:hyperlink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Ivo H. Daalder, Michèle Flournoy; John Herbst; Jan Lodal; B. Obama, Steven Pifer Preserving Ukraine‘s Independence, Resisting Russian Aggression: What the United States and NATO Must Do. The Chicago Counsil on Global Affairs. 2015. URL: </w:t>
      </w:r>
      <w:hyperlink r:id="rId14"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https://www.thechicagocouncil.org/publication/preserving-</w:t>
        </w:r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lastRenderedPageBreak/>
          <w:t>ukraine%E%80%99s-independence-resisting-russian-aggression-what-united-states-and</w:t>
        </w:r>
      </w:hyperlink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Участь України в Організації з безпеки та співробітництва в Європі (ОБСЄ)</w:t>
      </w:r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D1272" w:rsidRPr="004D1272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15">
        <w:r w:rsidRPr="004D12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http://mfa</w:t>
        </w:r>
      </w:hyperlink>
      <w:r w:rsidRPr="004D1272">
        <w:rPr>
          <w:rFonts w:ascii="Times New Roman" w:eastAsia="Times New Roman" w:hAnsi="Times New Roman" w:cs="Times New Roman"/>
          <w:sz w:val="28"/>
          <w:szCs w:val="28"/>
        </w:rPr>
        <w:t>. gov.ua/ua/about–ukraine/international–organizations/osce</w:t>
      </w:r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1272" w:rsidRPr="004D1272">
        <w:rPr>
          <w:rFonts w:ascii="Times New Roman" w:eastAsia="Times New Roman" w:hAnsi="Times New Roman" w:cs="Times New Roman"/>
          <w:sz w:val="28"/>
          <w:szCs w:val="28"/>
        </w:rPr>
        <w:t>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Історія створення та засади діяльності ОБСЄ</w:t>
      </w:r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D1272" w:rsidRPr="004D1272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16" w:history="1">
        <w:r w:rsidR="004D1272" w:rsidRPr="004E0177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https://uk.wikipedia.org/wiki</w:t>
        </w:r>
      </w:hyperlink>
      <w:r w:rsidR="004D1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1272" w:rsidRPr="004D1272">
        <w:rPr>
          <w:rFonts w:ascii="Times New Roman" w:eastAsia="Times New Roman" w:hAnsi="Times New Roman" w:cs="Times New Roman"/>
          <w:sz w:val="28"/>
          <w:szCs w:val="28"/>
        </w:rPr>
        <w:t>(Дата звернення: 06.04.2021).</w:t>
      </w:r>
    </w:p>
    <w:p w:rsidR="00464DD4" w:rsidRPr="004D1272" w:rsidRDefault="00F46DFB" w:rsidP="004D1272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Кривошея І. І., Якименко Л. М. Участь ОБСЄ у вирішенні збройних конфліктів на пострадянському просторі: проблема Нагірного Карабаху (1992–2016) і Донбасу (2014–2016). </w:t>
      </w:r>
      <w:r w:rsidRPr="004D1272">
        <w:rPr>
          <w:rFonts w:ascii="Times New Roman" w:eastAsia="Times New Roman" w:hAnsi="Times New Roman" w:cs="Times New Roman"/>
          <w:i/>
          <w:sz w:val="28"/>
          <w:szCs w:val="28"/>
        </w:rPr>
        <w:t>Гілея.</w:t>
      </w:r>
      <w:r w:rsidRPr="004D1272">
        <w:rPr>
          <w:rFonts w:ascii="Times New Roman" w:eastAsia="Times New Roman" w:hAnsi="Times New Roman" w:cs="Times New Roman"/>
          <w:sz w:val="28"/>
          <w:szCs w:val="28"/>
        </w:rPr>
        <w:t xml:space="preserve"> 2016. № 110. С. 122-129.</w:t>
      </w:r>
    </w:p>
    <w:sectPr w:rsidR="00464DD4" w:rsidRPr="004D1272" w:rsidSect="004D1272">
      <w:headerReference w:type="even" r:id="rId17"/>
      <w:headerReference w:type="default" r:id="rId18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25" w:rsidRDefault="00274E25">
      <w:pPr>
        <w:spacing w:line="240" w:lineRule="auto"/>
      </w:pPr>
      <w:r>
        <w:separator/>
      </w:r>
    </w:p>
  </w:endnote>
  <w:endnote w:type="continuationSeparator" w:id="0">
    <w:p w:rsidR="00274E25" w:rsidRDefault="0027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25" w:rsidRDefault="00274E25">
      <w:pPr>
        <w:spacing w:line="240" w:lineRule="auto"/>
      </w:pPr>
      <w:r>
        <w:separator/>
      </w:r>
    </w:p>
  </w:footnote>
  <w:footnote w:type="continuationSeparator" w:id="0">
    <w:p w:rsidR="00274E25" w:rsidRDefault="00274E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1064912896"/>
      <w:docPartObj>
        <w:docPartGallery w:val="Page Numbers (Top of Page)"/>
        <w:docPartUnique/>
      </w:docPartObj>
    </w:sdtPr>
    <w:sdtContent>
      <w:p w:rsidR="008E5730" w:rsidRDefault="002D7327" w:rsidP="006E5A9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8E573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E5730" w:rsidRDefault="008E5730" w:rsidP="008E573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360909355"/>
      <w:docPartObj>
        <w:docPartGallery w:val="Page Numbers (Top of Page)"/>
        <w:docPartUnique/>
      </w:docPartObj>
    </w:sdtPr>
    <w:sdtContent>
      <w:p w:rsidR="008E5730" w:rsidRDefault="002D7327" w:rsidP="006E5A9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8E5730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B9346F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E5730" w:rsidRDefault="008E5730" w:rsidP="008E573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236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99B65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D4"/>
    <w:rsid w:val="001D4FF2"/>
    <w:rsid w:val="00274E25"/>
    <w:rsid w:val="002D0708"/>
    <w:rsid w:val="002D7327"/>
    <w:rsid w:val="00464DD4"/>
    <w:rsid w:val="004D1272"/>
    <w:rsid w:val="004F695E"/>
    <w:rsid w:val="006439E2"/>
    <w:rsid w:val="008E5730"/>
    <w:rsid w:val="00B9346F"/>
    <w:rsid w:val="00D60C6A"/>
    <w:rsid w:val="00DE6E4D"/>
    <w:rsid w:val="00DF3D45"/>
    <w:rsid w:val="00EE3DD5"/>
    <w:rsid w:val="00F079D0"/>
    <w:rsid w:val="00F46DFB"/>
    <w:rsid w:val="00F6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4D"/>
  </w:style>
  <w:style w:type="paragraph" w:styleId="1">
    <w:name w:val="heading 1"/>
    <w:basedOn w:val="a"/>
    <w:next w:val="a"/>
    <w:uiPriority w:val="9"/>
    <w:qFormat/>
    <w:rsid w:val="00DE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DE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DE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E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E6E4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DE6E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6E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E6E4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DE6E4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E573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730"/>
  </w:style>
  <w:style w:type="paragraph" w:styleId="a7">
    <w:name w:val="footer"/>
    <w:basedOn w:val="a"/>
    <w:link w:val="a8"/>
    <w:uiPriority w:val="99"/>
    <w:unhideWhenUsed/>
    <w:rsid w:val="008E5730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730"/>
  </w:style>
  <w:style w:type="character" w:styleId="a9">
    <w:name w:val="page number"/>
    <w:basedOn w:val="a0"/>
    <w:uiPriority w:val="99"/>
    <w:semiHidden/>
    <w:unhideWhenUsed/>
    <w:rsid w:val="008E5730"/>
  </w:style>
  <w:style w:type="character" w:styleId="aa">
    <w:name w:val="Hyperlink"/>
    <w:basedOn w:val="a0"/>
    <w:uiPriority w:val="99"/>
    <w:unhideWhenUsed/>
    <w:rsid w:val="004D1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da.com.ua/news/2017/06/17/7147226" TargetMode="External"/><Relationship Id="rId13" Type="http://schemas.openxmlformats.org/officeDocument/2006/relationships/hyperlink" Target="http://www.theatlantic.com/magazine/archive/2016/04/the-obama-doctrine/471525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i.factor.ua/ukr/journals/ds/2016/september/issue-9/article-21398.html" TargetMode="External"/><Relationship Id="rId12" Type="http://schemas.openxmlformats.org/officeDocument/2006/relationships/hyperlink" Target="http://www.economy.gov.ru/wps/wcm/connect/economylib4/mer/about/structure/depSNG/agreement-eurasianeconomic-unio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transcripts/198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fa" TargetMode="External"/><Relationship Id="rId10" Type="http://schemas.openxmlformats.org/officeDocument/2006/relationships/hyperlink" Target="http://www.kremlin.ru/news/468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rf.gov.ru/documents/99.html" TargetMode="External"/><Relationship Id="rId14" Type="http://schemas.openxmlformats.org/officeDocument/2006/relationships/hyperlink" Target="https://www.thechicagocouncil.org/publication/preserving-ukraine%25E%80%99s-independence-resisting-russian-aggression-what-united-states-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Ilienkova</cp:lastModifiedBy>
  <cp:revision>6</cp:revision>
  <dcterms:created xsi:type="dcterms:W3CDTF">2021-04-06T19:38:00Z</dcterms:created>
  <dcterms:modified xsi:type="dcterms:W3CDTF">2021-04-07T11:42:00Z</dcterms:modified>
</cp:coreProperties>
</file>