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1A" w:rsidRPr="00946B21" w:rsidRDefault="0091321A" w:rsidP="0091321A">
      <w:pPr>
        <w:pStyle w:val="11"/>
        <w:tabs>
          <w:tab w:val="right" w:leader="dot" w:pos="9345"/>
        </w:tabs>
        <w:spacing w:after="0" w:line="360" w:lineRule="auto"/>
        <w:ind w:firstLine="709"/>
        <w:jc w:val="center"/>
        <w:rPr>
          <w:rStyle w:val="a9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</w:pPr>
      <w:r w:rsidRPr="00946B21">
        <w:rPr>
          <w:rStyle w:val="a9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>ЗМІСТ</w:t>
      </w:r>
    </w:p>
    <w:p w:rsidR="0091321A" w:rsidRPr="00946B21" w:rsidRDefault="0091321A" w:rsidP="0091321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</w:pPr>
    </w:p>
    <w:p w:rsidR="0091321A" w:rsidRPr="00946B21" w:rsidRDefault="006A1B73" w:rsidP="0091321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hyperlink w:anchor="_Toc68843176" w:history="1">
        <w:r w:rsidR="0091321A" w:rsidRPr="00946B21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ВСТУП</w:t>
        </w:r>
        <w:r w:rsidR="0091321A" w:rsidRPr="00946B21">
          <w:rPr>
            <w:rFonts w:ascii="Times New Roman" w:hAnsi="Times New Roman" w:cs="Times New Roman"/>
            <w:b/>
            <w:webHidden/>
            <w:sz w:val="28"/>
            <w:szCs w:val="28"/>
            <w:lang w:val="uk-UA"/>
          </w:rPr>
          <w:tab/>
          <w:t>3</w:t>
        </w:r>
      </w:hyperlink>
    </w:p>
    <w:p w:rsidR="0091321A" w:rsidRPr="00946B21" w:rsidRDefault="006A1B73" w:rsidP="0091321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hyperlink w:anchor="_Toc68843177" w:history="1">
        <w:r w:rsidR="0091321A" w:rsidRPr="00946B21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РОЗДІЛ І. ІНФОРМАЦІЙНО-АНАЛІТИЧНІ СТРУКТУРИ ЯК СУБ’ЄКТИ НАЦІОНАЛЬНОЇ ІНФОРМАЦІЙНОЇ ПОЛІТИКИ</w:t>
        </w:r>
        <w:r w:rsidR="0091321A" w:rsidRPr="00946B21">
          <w:rPr>
            <w:rFonts w:ascii="Times New Roman" w:hAnsi="Times New Roman" w:cs="Times New Roman"/>
            <w:b/>
            <w:webHidden/>
            <w:sz w:val="28"/>
            <w:szCs w:val="28"/>
            <w:lang w:val="uk-UA"/>
          </w:rPr>
          <w:tab/>
          <w:t>5</w:t>
        </w:r>
      </w:hyperlink>
    </w:p>
    <w:p w:rsidR="0091321A" w:rsidRPr="00946B21" w:rsidRDefault="006A1B73" w:rsidP="0091321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hyperlink w:anchor="_Toc68843178" w:history="1">
        <w:r w:rsidR="0091321A" w:rsidRPr="00946B21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РОЗДІЛ ІІ. ДІЯЛЬНІСТЬ ІНСТИТУТУ ЄВРО-АТЛАНТИЧНОГО СПІВРОБІТНИЦТВА ТА ІНСТИТУТУ ЄВРОПЕЙСЬКОЇ ІНТЕГРАЦІЇ</w:t>
        </w:r>
        <w:r w:rsidR="0091321A" w:rsidRPr="00946B21">
          <w:rPr>
            <w:rFonts w:ascii="Times New Roman" w:hAnsi="Times New Roman" w:cs="Times New Roman"/>
            <w:b/>
            <w:webHidden/>
            <w:sz w:val="28"/>
            <w:szCs w:val="28"/>
            <w:lang w:val="uk-UA"/>
          </w:rPr>
          <w:tab/>
          <w:t>15</w:t>
        </w:r>
      </w:hyperlink>
    </w:p>
    <w:p w:rsidR="0091321A" w:rsidRPr="00946B21" w:rsidRDefault="006A1B73" w:rsidP="0091321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hyperlink w:anchor="_Toc68843179" w:history="1">
        <w:r w:rsidR="0091321A" w:rsidRPr="00946B21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РОЗДІЛ ІІІ.</w:t>
        </w:r>
        <w:r w:rsidR="00946B21" w:rsidRPr="00946B21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 xml:space="preserve"> </w:t>
        </w:r>
        <w:r w:rsidR="0091321A" w:rsidRPr="00946B21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ДІЯЛЬНІСТЬ МІЖНАРОДНОГО ЦЕНТРУ ПЕРСПЕКТИВНИХ ДОСЛІДЖЕНЬ</w:t>
        </w:r>
        <w:r w:rsidR="0091321A" w:rsidRPr="00946B21">
          <w:rPr>
            <w:rFonts w:ascii="Times New Roman" w:hAnsi="Times New Roman" w:cs="Times New Roman"/>
            <w:b/>
            <w:webHidden/>
            <w:sz w:val="28"/>
            <w:szCs w:val="28"/>
            <w:lang w:val="uk-UA"/>
          </w:rPr>
          <w:tab/>
          <w:t>23</w:t>
        </w:r>
      </w:hyperlink>
    </w:p>
    <w:p w:rsidR="0091321A" w:rsidRPr="00946B21" w:rsidRDefault="006A1B73" w:rsidP="0091321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</w:pPr>
      <w:hyperlink w:anchor="_Toc68843180" w:history="1">
        <w:r w:rsidR="0091321A" w:rsidRPr="00946B21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ВИСНОВКИ</w:t>
        </w:r>
        <w:r w:rsidR="0091321A" w:rsidRPr="00946B21">
          <w:rPr>
            <w:rFonts w:ascii="Times New Roman" w:hAnsi="Times New Roman" w:cs="Times New Roman"/>
            <w:b/>
            <w:webHidden/>
            <w:sz w:val="28"/>
            <w:szCs w:val="28"/>
            <w:lang w:val="uk-UA"/>
          </w:rPr>
          <w:tab/>
          <w:t>26</w:t>
        </w:r>
      </w:hyperlink>
    </w:p>
    <w:p w:rsidR="00FE13C3" w:rsidRPr="00946B21" w:rsidRDefault="006A1B73" w:rsidP="0091321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hyperlink w:anchor="_Toc68843181" w:history="1">
        <w:r w:rsidR="0091321A" w:rsidRPr="00946B21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СПИСОК ЛІТЕТЕРАТУРИ</w:t>
        </w:r>
        <w:r w:rsidR="0091321A" w:rsidRPr="00946B21">
          <w:rPr>
            <w:rFonts w:ascii="Times New Roman" w:hAnsi="Times New Roman" w:cs="Times New Roman"/>
            <w:b/>
            <w:webHidden/>
            <w:sz w:val="28"/>
            <w:szCs w:val="28"/>
            <w:lang w:val="uk-UA"/>
          </w:rPr>
          <w:tab/>
          <w:t>28</w:t>
        </w:r>
      </w:hyperlink>
    </w:p>
    <w:p w:rsidR="009E03BD" w:rsidRPr="00946B21" w:rsidRDefault="00946B21" w:rsidP="0091321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0" w:name="_Toc68843176"/>
      <w:r w:rsidRPr="00946B21">
        <w:rPr>
          <w:rFonts w:ascii="Times New Roman" w:eastAsiaTheme="minorHAnsi" w:hAnsi="Times New Roman" w:cs="Times New Roman"/>
          <w:b w:val="0"/>
          <w:bCs w:val="0"/>
          <w:color w:val="auto"/>
          <w:lang w:val="uk-UA"/>
        </w:rPr>
        <w:br w:type="column"/>
      </w:r>
      <w:r w:rsidR="009E03BD" w:rsidRPr="00946B21">
        <w:rPr>
          <w:rFonts w:ascii="Times New Roman" w:hAnsi="Times New Roman" w:cs="Times New Roman"/>
          <w:color w:val="auto"/>
          <w:lang w:val="uk-UA"/>
        </w:rPr>
        <w:lastRenderedPageBreak/>
        <w:t>ВСТУП</w:t>
      </w:r>
      <w:bookmarkEnd w:id="0"/>
    </w:p>
    <w:p w:rsidR="009E03BD" w:rsidRPr="00946B21" w:rsidRDefault="009E03BD" w:rsidP="0091321A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E03BD" w:rsidRPr="00946B21" w:rsidRDefault="009E03BD" w:rsidP="00913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дослідження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. Вітчизняні європейські дослідження розвивалися поступально: від вузької спеціалізації і закритості в рамках столичних дослідних інститутів через розширення досліджуваного поля і поява регіональних центрів до вибудовування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внутріросійського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мережевої співпраці та впровадження компаративістського підходу. Збільшення кількісних показників (теми, фахівці, а також контакти з ЄС в прикордонних регіонах) спричинило за собою підвищення якості досліджень (зближення різних методик, формування пулу російських експертів і його взаємодія зі світовим професійним співтовариством). На даний момент в літературі мало висвітлене питання про діяльність провідних інформаційно-аналітичних центрів України у процесі реалізації курсу на Європейську інтеграції, тому тема курсової роботи є актуальною.</w:t>
      </w:r>
    </w:p>
    <w:p w:rsidR="009E03BD" w:rsidRPr="00946B21" w:rsidRDefault="009E03BD" w:rsidP="00913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b/>
          <w:sz w:val="28"/>
          <w:szCs w:val="28"/>
          <w:lang w:val="uk-UA"/>
        </w:rPr>
        <w:t>Мета дослідження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– здійснити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теоретико-правовий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аналіз діяльності провідних інформаційно-аналітичних центрів України у процесі реалізації курсу на Європейську інтеграції.</w:t>
      </w:r>
    </w:p>
    <w:p w:rsidR="009E03BD" w:rsidRPr="00946B21" w:rsidRDefault="009E03BD" w:rsidP="00913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b/>
          <w:sz w:val="28"/>
          <w:szCs w:val="28"/>
          <w:lang w:val="uk-UA"/>
        </w:rPr>
        <w:t>Об’єкт дослідження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– суспільно-правові відносини, що виникають в сфері діяльності провідних інформаційно-аналітичних центрів України у процесі реалізації курсу на Європейську інтеграції.</w:t>
      </w:r>
    </w:p>
    <w:p w:rsidR="009E03BD" w:rsidRPr="00946B21" w:rsidRDefault="009E03BD" w:rsidP="00913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5"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дослідження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B2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діяльність провідних інформаційно-аналітичних центрів України у процесі реалізації курсу на Європейську інтеграції.</w:t>
      </w:r>
    </w:p>
    <w:p w:rsidR="0012394D" w:rsidRPr="00946B21" w:rsidRDefault="0012394D" w:rsidP="00913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b/>
          <w:sz w:val="28"/>
          <w:szCs w:val="28"/>
          <w:lang w:val="uk-UA"/>
        </w:rPr>
        <w:t>Структура роботи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. Дослідження складається зі вступу, трьох розділів, висновків та списку літератури. Загальна кількість сторінок – 30.</w:t>
      </w:r>
    </w:p>
    <w:p w:rsidR="008D3E6D" w:rsidRPr="00946B21" w:rsidRDefault="00946B21" w:rsidP="0091321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1" w:name="_Toc68843177"/>
      <w:r>
        <w:rPr>
          <w:rFonts w:ascii="Times New Roman" w:eastAsiaTheme="minorHAnsi" w:hAnsi="Times New Roman" w:cs="Times New Roman"/>
          <w:b w:val="0"/>
          <w:bCs w:val="0"/>
          <w:color w:val="auto"/>
          <w:lang w:val="uk-UA"/>
        </w:rPr>
        <w:br w:type="column"/>
      </w:r>
      <w:r w:rsidR="008D3E6D" w:rsidRPr="00946B21">
        <w:rPr>
          <w:rFonts w:ascii="Times New Roman" w:hAnsi="Times New Roman" w:cs="Times New Roman"/>
          <w:color w:val="auto"/>
          <w:lang w:val="uk-UA"/>
        </w:rPr>
        <w:lastRenderedPageBreak/>
        <w:t xml:space="preserve">РОЗДІЛ І. </w:t>
      </w:r>
      <w:r w:rsidR="00BB159B" w:rsidRPr="00946B21">
        <w:rPr>
          <w:rFonts w:ascii="Times New Roman" w:hAnsi="Times New Roman" w:cs="Times New Roman"/>
          <w:color w:val="auto"/>
          <w:lang w:val="uk-UA"/>
        </w:rPr>
        <w:t>ІНФОРМАЦІЙНО-АНАЛІТИЧНІ СТРУКТУРИ ЯК СУБ’ЄКТИ НАЦІОНАЛЬНОЇ ІНФОРМАЦІЙНОЇ ПОЛІТИКИ</w:t>
      </w:r>
      <w:bookmarkEnd w:id="1"/>
    </w:p>
    <w:p w:rsidR="008D3E6D" w:rsidRPr="00946B21" w:rsidRDefault="008D3E6D" w:rsidP="0091321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B159B" w:rsidRPr="00946B21" w:rsidRDefault="00BB159B" w:rsidP="00913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В умовах інформаційного протистояння, яке супроводжується поширенням інформації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маніпулятивного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характеру, дезінформації та недостовірної інформації, питання формування інформаційної бази прийняття управлінських рішень стає проблемою, від ефективності розв’язання якої може залежати не лише локальний результат протистояння (наприклад, іміджеві здобутки або втрати), а й безпосередньо існування політичної системи та навіть держави</w:t>
      </w:r>
      <w:r w:rsidR="0012394D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fldSimple w:instr=" REF _Ref68842673 \r \h  \* MERGEFORMAT ">
        <w:r w:rsidR="0012394D" w:rsidRPr="00946B21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fldSimple>
      <w:r w:rsidR="0012394D" w:rsidRPr="00946B21">
        <w:rPr>
          <w:rFonts w:ascii="Times New Roman" w:hAnsi="Times New Roman" w:cs="Times New Roman"/>
          <w:sz w:val="28"/>
          <w:szCs w:val="28"/>
          <w:lang w:val="uk-UA"/>
        </w:rPr>
        <w:t>, c.138]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59B" w:rsidRPr="00946B21" w:rsidRDefault="00BB159B" w:rsidP="00913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>Таким чином, якісне інформаційне забезпечення процесу прийняття управлінських рішень, формування відповідної інформаційної бази, підготовленої за безпосередньої участі інформаційно-аналітичних структур, є необхідною умовою ефективної управлінської діяльності.</w:t>
      </w:r>
    </w:p>
    <w:p w:rsidR="00BB159B" w:rsidRPr="00946B21" w:rsidRDefault="00BB159B" w:rsidP="00913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Завдання і напрями участі інформаційно-аналітичних структур у забезпеченні інформаційного супроводу державної політики, технологія підготовки та види аналітичних продуктів, специфіка інформаційно-аналітичної діяльності висвітлювалися в багатьох працях таких вітчизняних науковців, як В.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Варенко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, В. Горовий, Т.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Гранчак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>, В. Захарова та</w:t>
      </w:r>
      <w:r w:rsidR="00946B21">
        <w:rPr>
          <w:rFonts w:ascii="Times New Roman" w:hAnsi="Times New Roman" w:cs="Times New Roman"/>
          <w:sz w:val="28"/>
          <w:szCs w:val="28"/>
          <w:lang w:val="uk-UA"/>
        </w:rPr>
        <w:t xml:space="preserve"> Л. </w:t>
      </w:r>
      <w:proofErr w:type="spellStart"/>
      <w:r w:rsidR="00946B21">
        <w:rPr>
          <w:rFonts w:ascii="Times New Roman" w:hAnsi="Times New Roman" w:cs="Times New Roman"/>
          <w:sz w:val="28"/>
          <w:szCs w:val="28"/>
          <w:lang w:val="uk-UA"/>
        </w:rPr>
        <w:t>Філіпова</w:t>
      </w:r>
      <w:proofErr w:type="spellEnd"/>
      <w:r w:rsidR="00946B21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="00946B21">
        <w:rPr>
          <w:rFonts w:ascii="Times New Roman" w:hAnsi="Times New Roman" w:cs="Times New Roman"/>
          <w:sz w:val="28"/>
          <w:szCs w:val="28"/>
          <w:lang w:val="uk-UA"/>
        </w:rPr>
        <w:t>Кобєлєв</w:t>
      </w:r>
      <w:proofErr w:type="spellEnd"/>
      <w:r w:rsidR="00946B21">
        <w:rPr>
          <w:rFonts w:ascii="Times New Roman" w:hAnsi="Times New Roman" w:cs="Times New Roman"/>
          <w:sz w:val="28"/>
          <w:szCs w:val="28"/>
          <w:lang w:val="uk-UA"/>
        </w:rPr>
        <w:t>, В. 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Пальчук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, Л. Чуприна та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> </w:t>
      </w:r>
      <w:hyperlink r:id="rId8" w:anchor="_ftn1" w:history="1">
        <w:r w:rsidRPr="00946B21">
          <w:rPr>
            <w:rStyle w:val="a9"/>
            <w:rFonts w:ascii="Times New Roman" w:hAnsi="Times New Roman" w:cs="Times New Roman"/>
            <w:sz w:val="28"/>
            <w:szCs w:val="28"/>
            <w:vertAlign w:val="superscript"/>
            <w:lang w:val="uk-UA"/>
          </w:rPr>
          <w:t>[1]</w:t>
        </w:r>
      </w:hyperlink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. Водночас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інформаційно-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аналітичні структури ними не розглядалися як самостійні суб’єкти національної інформаційної політики. Отже, метою статті є обґрунтування та висвітлення особливостей функціонування вітчизняних інформаційно-аналітичних служб як суб’єктів національної інформаційної політики</w:t>
      </w:r>
      <w:r w:rsidR="0012394D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fldSimple w:instr=" REF _Ref68842685 \r \h  \* MERGEFORMAT ">
        <w:r w:rsidR="0012394D" w:rsidRPr="00946B21">
          <w:rPr>
            <w:rFonts w:ascii="Times New Roman" w:hAnsi="Times New Roman" w:cs="Times New Roman"/>
            <w:sz w:val="28"/>
            <w:szCs w:val="28"/>
            <w:lang w:val="uk-UA"/>
          </w:rPr>
          <w:t>4</w:t>
        </w:r>
      </w:fldSimple>
      <w:r w:rsidR="0012394D" w:rsidRPr="00946B21">
        <w:rPr>
          <w:rFonts w:ascii="Times New Roman" w:hAnsi="Times New Roman" w:cs="Times New Roman"/>
          <w:sz w:val="28"/>
          <w:szCs w:val="28"/>
          <w:lang w:val="uk-UA"/>
        </w:rPr>
        <w:t>, c.42]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3E6D" w:rsidRPr="00946B21" w:rsidRDefault="008D3E6D" w:rsidP="0091321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2" w:name="_Toc68843178"/>
      <w:r w:rsidRPr="00946B21">
        <w:rPr>
          <w:rFonts w:ascii="Times New Roman" w:hAnsi="Times New Roman" w:cs="Times New Roman"/>
          <w:color w:val="auto"/>
          <w:lang w:val="uk-UA"/>
        </w:rPr>
        <w:t>РОЗДІЛ ІІ. ДІЯЛЬНІСТЬ ІНСТИТУТУ ЄВРО-АТЛАНТИЧНОГО СПІВРОБІТНИЦТВА</w:t>
      </w:r>
      <w:r w:rsidR="00BB159B" w:rsidRPr="00946B21">
        <w:rPr>
          <w:rFonts w:ascii="Times New Roman" w:hAnsi="Times New Roman" w:cs="Times New Roman"/>
          <w:color w:val="auto"/>
          <w:lang w:val="uk-UA"/>
        </w:rPr>
        <w:t xml:space="preserve"> ТА ІНСТИТУТУ ЄВРОПЕЙСЬКОЇ ІНТЕГРАЦІЇ</w:t>
      </w:r>
      <w:bookmarkEnd w:id="2"/>
    </w:p>
    <w:p w:rsidR="00FE13C3" w:rsidRPr="00946B21" w:rsidRDefault="00FE13C3" w:rsidP="0091321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E13C3" w:rsidRPr="00946B21" w:rsidRDefault="00FE13C3" w:rsidP="00913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Інститут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Євро-Атлантичного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Співробітництва (ІЄАС) – незалежна громадська дослідницька організація, заснована в квітні 2001 року. Діяльність ІЄАС спрямована на євроатлантичну інтеграцію України, її демократичний 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розвиток шляхом здійснення ґрунтовних досліджень та просвітницьких заходів, спрямованих на досягнення сталого демократичного розвитку українського суспільства. ІЄАС був заснований групою експертів з питань закордонних справ та міжнародної безпеки з метою ініціювання та сприяння прагненню нашої держави до євроінтеграції</w:t>
      </w:r>
      <w:r w:rsidR="0012394D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fldSimple w:instr=" REF _Ref68842954 \r \h  \* MERGEFORMAT ">
        <w:r w:rsidR="0012394D" w:rsidRPr="00946B21">
          <w:rPr>
            <w:rFonts w:ascii="Times New Roman" w:hAnsi="Times New Roman" w:cs="Times New Roman"/>
            <w:sz w:val="28"/>
            <w:szCs w:val="28"/>
            <w:lang w:val="uk-UA"/>
          </w:rPr>
          <w:t>10</w:t>
        </w:r>
      </w:fldSimple>
      <w:r w:rsidR="0012394D" w:rsidRPr="00946B2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13C3" w:rsidRPr="00946B21" w:rsidRDefault="00FE13C3" w:rsidP="00913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>Структура ІЄАС складається із 2 відділів: аналітичного та організаційного. У межах дослідницько-аналітичного напряму фахівці ІЄАС аналізують процеси європейської та євроатлантичної інтеграції України та місце нашої держави у світі. Складовою частиною досліджень є надання коментарів, вироблення рекомендацій та прогнозів щодо розвитку актуальних подій у світі та позиції України щодо цих питань. У межах просвітницько-інформаційного напряму ІЄАС організовує тематичні конференції, круглі столи, науково-практичні семінари та інші публічні заходи за участю українських та зарубіжних експертів та відомих політиків</w:t>
      </w:r>
      <w:r w:rsidR="0012394D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fldSimple w:instr=" REF _Ref68842954 \r \h  \* MERGEFORMAT ">
        <w:r w:rsidR="0012394D" w:rsidRPr="00946B21">
          <w:rPr>
            <w:rFonts w:ascii="Times New Roman" w:hAnsi="Times New Roman" w:cs="Times New Roman"/>
            <w:sz w:val="28"/>
            <w:szCs w:val="28"/>
            <w:lang w:val="uk-UA"/>
          </w:rPr>
          <w:t>10</w:t>
        </w:r>
      </w:fldSimple>
      <w:r w:rsidR="0012394D" w:rsidRPr="00946B2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0BB5" w:rsidRPr="00946B21" w:rsidRDefault="00FE13C3" w:rsidP="00570BB5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У рамках дослідження ІЄАС, організація досліджує можливості співпраці у рамках безпеки, вивчити потенціал посилення співпраці. Східне Партнерство є однією з найпотужніших платформ інтеграції європейської спільноти, що має потенціал платформи з покращення збереження миру та посилення спільної безпеки. Співробітництво з ЄС має чимало успіхів у економічному та ціннісному полі, що визначає також потребу і координації спільних зусиль у сфері безпеки. Це особливо важливо на рубіконі існування програми, та формування її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візії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денного на найближчі роки. Згідно з висновками Радою Європейського Союзу щодо Східного партнерства після 2020-го року, одними з ключових пріоритетів визначено протидію тероризму, превенція радикалізації та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кібер</w:t>
      </w:r>
      <w:r w:rsidR="00946B21" w:rsidRPr="00946B21">
        <w:rPr>
          <w:rFonts w:ascii="Times New Roman" w:hAnsi="Times New Roman" w:cs="Times New Roman"/>
          <w:sz w:val="28"/>
          <w:szCs w:val="28"/>
          <w:lang w:val="uk-UA"/>
        </w:rPr>
        <w:t>правопорушення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ності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3" w:name="_Toc68843179"/>
    </w:p>
    <w:p w:rsidR="008D3E6D" w:rsidRPr="00946B21" w:rsidRDefault="008D3E6D" w:rsidP="0091321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r w:rsidRPr="00946B21">
        <w:rPr>
          <w:rFonts w:ascii="Times New Roman" w:hAnsi="Times New Roman" w:cs="Times New Roman"/>
          <w:color w:val="auto"/>
          <w:lang w:val="uk-UA"/>
        </w:rPr>
        <w:t>РОЗДІЛ ІІІ.</w:t>
      </w:r>
      <w:r w:rsidR="00946B21" w:rsidRPr="00946B21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946B21">
        <w:rPr>
          <w:rFonts w:ascii="Times New Roman" w:hAnsi="Times New Roman" w:cs="Times New Roman"/>
          <w:color w:val="auto"/>
          <w:lang w:val="uk-UA"/>
        </w:rPr>
        <w:t xml:space="preserve">ДІЯЛЬНІСТЬ </w:t>
      </w:r>
      <w:r w:rsidR="00BB159B" w:rsidRPr="00946B21">
        <w:rPr>
          <w:rFonts w:ascii="Times New Roman" w:hAnsi="Times New Roman" w:cs="Times New Roman"/>
          <w:color w:val="auto"/>
          <w:lang w:val="uk-UA"/>
        </w:rPr>
        <w:t>МІЖНАРОДНОГО ЦЕНТРУ ПЕРСПЕКТИВНИХ ДОСЛІДЖЕНЬ</w:t>
      </w:r>
      <w:bookmarkEnd w:id="3"/>
    </w:p>
    <w:p w:rsidR="00BB159B" w:rsidRPr="00946B21" w:rsidRDefault="00BB159B" w:rsidP="0091321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B159B" w:rsidRPr="00946B21" w:rsidRDefault="00BB159B" w:rsidP="00913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Міжнародний центр перспективних досліджень (МЦПД) є одним з провідних незалежних аналітичних центрів України, що беруть участь у розробці й аналізі державної політики</w:t>
      </w:r>
      <w:r w:rsidR="0012394D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fldSimple w:instr=" REF _Ref68843032 \r \h  \* MERGEFORMAT ">
        <w:r w:rsidR="0012394D" w:rsidRPr="00946B21">
          <w:rPr>
            <w:rFonts w:ascii="Times New Roman" w:hAnsi="Times New Roman" w:cs="Times New Roman"/>
            <w:sz w:val="28"/>
            <w:szCs w:val="28"/>
            <w:lang w:val="uk-UA"/>
          </w:rPr>
          <w:t>16</w:t>
        </w:r>
      </w:fldSimple>
      <w:r w:rsidR="0012394D" w:rsidRPr="00946B2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59B" w:rsidRPr="00946B21" w:rsidRDefault="00BB159B" w:rsidP="00913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Спираючись на більш ніж 20-річний досвід, МЦПД пропонує стратегічне бачення розвитку та перетворення країни. Воно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грунтується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на впровадженні комплексу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міжсекторальних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реформ та інноваційних розробках у сфері державного управління та політичної конкуренції. </w:t>
      </w:r>
    </w:p>
    <w:p w:rsidR="00BB159B" w:rsidRPr="00946B21" w:rsidRDefault="00BB159B" w:rsidP="00913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Місія - просування реформ, демократичних принципів управління, а також соціальних перетворень в Україні на основі європейської інтеграції. </w:t>
      </w:r>
    </w:p>
    <w:p w:rsidR="00BB159B" w:rsidRPr="00946B21" w:rsidRDefault="00BB159B" w:rsidP="00913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>Основні напрямки діяльності:</w:t>
      </w:r>
    </w:p>
    <w:p w:rsidR="00BB159B" w:rsidRPr="00946B21" w:rsidRDefault="00BB159B" w:rsidP="0091321A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>зовнішня політика;</w:t>
      </w:r>
    </w:p>
    <w:p w:rsidR="00BB159B" w:rsidRPr="00946B21" w:rsidRDefault="00BB159B" w:rsidP="0091321A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>політична конкуренція;</w:t>
      </w:r>
    </w:p>
    <w:p w:rsidR="00BB159B" w:rsidRPr="00946B21" w:rsidRDefault="00BB159B" w:rsidP="0091321A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>державні рішення;</w:t>
      </w:r>
    </w:p>
    <w:p w:rsidR="00BB159B" w:rsidRPr="00946B21" w:rsidRDefault="00BB159B" w:rsidP="0091321A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>підтримка реформ;</w:t>
      </w:r>
    </w:p>
    <w:p w:rsidR="00BB159B" w:rsidRPr="00946B21" w:rsidRDefault="00BB159B" w:rsidP="0091321A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>розв’язання конфліктів;</w:t>
      </w:r>
    </w:p>
    <w:p w:rsidR="00BB159B" w:rsidRPr="00946B21" w:rsidRDefault="00BB159B" w:rsidP="0091321A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>конституційний процес;</w:t>
      </w:r>
    </w:p>
    <w:p w:rsidR="00BB159B" w:rsidRPr="00946B21" w:rsidRDefault="00BB159B" w:rsidP="0091321A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>економічний прогноз;</w:t>
      </w:r>
    </w:p>
    <w:p w:rsidR="00BB159B" w:rsidRPr="00946B21" w:rsidRDefault="00BB159B" w:rsidP="0091321A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>гендерна рівність;</w:t>
      </w:r>
    </w:p>
    <w:p w:rsidR="00BB159B" w:rsidRPr="00946B21" w:rsidRDefault="00BB159B" w:rsidP="0091321A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>боротьба з корупцією;</w:t>
      </w:r>
    </w:p>
    <w:p w:rsidR="00BB159B" w:rsidRPr="00946B21" w:rsidRDefault="00BB159B" w:rsidP="0091321A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>лідери змін.</w:t>
      </w:r>
    </w:p>
    <w:p w:rsidR="008D3E6D" w:rsidRPr="00946B21" w:rsidRDefault="008D3E6D" w:rsidP="0091321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4" w:name="_Toc68843180"/>
      <w:r w:rsidRPr="00946B21">
        <w:rPr>
          <w:rFonts w:ascii="Times New Roman" w:hAnsi="Times New Roman" w:cs="Times New Roman"/>
          <w:color w:val="auto"/>
          <w:lang w:val="uk-UA"/>
        </w:rPr>
        <w:t>ВИСНОВКИ</w:t>
      </w:r>
      <w:bookmarkEnd w:id="4"/>
    </w:p>
    <w:p w:rsidR="00724004" w:rsidRPr="00946B21" w:rsidRDefault="00724004" w:rsidP="0091321A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16702" w:rsidRPr="00946B21" w:rsidRDefault="00516702" w:rsidP="00913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та ефективне функціонування неурядових аналітичних центрів відкриває на сьогодні нові можливості та перспективи втілення основних шляхів державної політики, спрямованої на врахування найбільш значущих потреб та інтересів громадян. Ця проблема є надзвичайно актуальною для сучасної України, яка на сьогодні перебуває в кризових суспільно-політичних 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lastRenderedPageBreak/>
        <w:t>умовах і потребує розробки та налагодження ефективного механізму співпраці різних органів влади, інституцій, організацій, ЗМІ та громадськості з метою розбудови та втілення якісно нової системи демократичних цінностей.</w:t>
      </w:r>
    </w:p>
    <w:p w:rsidR="00516702" w:rsidRPr="00946B21" w:rsidRDefault="00516702" w:rsidP="00913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>Аналітичні центри (англ. мов. «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think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tanks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» – мозкові центри, фабрики думки) – недержавні науково-дослідницькі організації, які, як правило, зосереджують свої зусилля в різних галузях наук – політики, економіки, соціології, права та здійснюють прикладні дослідження, аналіз і консультування з внутрішньополітичних та міжнародних проблем, з метою надання політикам і громадськості можливості приймати обґрунтовані рішення з питань публічної політики [1]. Враховуючи їх вплив на суспільно-політичні, економічні та ін. процеси,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think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tanks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часто зараховують до «п'ятої влади», після законодавчої, виконавчої, судової та ЗМІ.</w:t>
      </w:r>
    </w:p>
    <w:p w:rsidR="008D3E6D" w:rsidRPr="00946B21" w:rsidRDefault="008D3E6D" w:rsidP="0091321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5" w:name="_Toc68843181"/>
      <w:r w:rsidRPr="00946B21">
        <w:rPr>
          <w:rFonts w:ascii="Times New Roman" w:hAnsi="Times New Roman" w:cs="Times New Roman"/>
          <w:color w:val="auto"/>
          <w:lang w:val="uk-UA"/>
        </w:rPr>
        <w:t>СПИСОК ЛІТЕТЕРАТУРИ</w:t>
      </w:r>
      <w:bookmarkEnd w:id="5"/>
    </w:p>
    <w:p w:rsidR="00FE13C3" w:rsidRPr="00946B21" w:rsidRDefault="00FE13C3" w:rsidP="0091321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>Андрущенко С. В. Україна в сучасному міжнародному середовищі. Зовнішня політика України – 2013: стратегічні</w:t>
      </w:r>
      <w:r w:rsidR="005A6FBE">
        <w:rPr>
          <w:rFonts w:ascii="Times New Roman" w:hAnsi="Times New Roman" w:cs="Times New Roman"/>
          <w:sz w:val="28"/>
          <w:szCs w:val="28"/>
          <w:lang w:val="uk-UA"/>
        </w:rPr>
        <w:t xml:space="preserve"> оцінки, прогнози та пріоритети. 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Київ : ВД «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Стилос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», 2014. С. 11–29. </w:t>
      </w:r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>Асоціація ЄС – Україна: що це дає Вам. Представництво Європейського Союзу в Україні. 2017. URL: https://eeas.europa.eu/sites/eeas/files/association_euua_2017_www.pdf (дата звернення: 09.04.2021).</w:t>
      </w:r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Ref68842673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Валюшко І. Дипломатія України у вимірі інформаційної безпеки країни. </w:t>
      </w:r>
      <w:r w:rsidRPr="005A6FBE">
        <w:rPr>
          <w:rFonts w:ascii="Times New Roman" w:hAnsi="Times New Roman" w:cs="Times New Roman"/>
          <w:i/>
          <w:sz w:val="28"/>
          <w:szCs w:val="28"/>
          <w:lang w:val="uk-UA"/>
        </w:rPr>
        <w:t>Вісник Львівського університету. Серія філос.-політолог. студії.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2017. Вип. 13. С. 137–142.</w:t>
      </w:r>
      <w:bookmarkEnd w:id="6"/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Ref68842685"/>
      <w:proofErr w:type="spellStart"/>
      <w:r w:rsidRPr="00946B21">
        <w:rPr>
          <w:rFonts w:ascii="Times New Roman" w:hAnsi="Times New Roman" w:cs="Times New Roman"/>
          <w:iCs/>
          <w:sz w:val="28"/>
          <w:szCs w:val="28"/>
          <w:lang w:val="uk-UA"/>
        </w:rPr>
        <w:t>Гранчак</w:t>
      </w:r>
      <w:proofErr w:type="spellEnd"/>
      <w:r w:rsidRPr="00946B2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. Науково-дослідна діяльність інформаційно-аналітичних підрозділів бібліотек у розвитку національн</w:t>
      </w:r>
      <w:r w:rsidR="005A6FBE">
        <w:rPr>
          <w:rFonts w:ascii="Times New Roman" w:hAnsi="Times New Roman" w:cs="Times New Roman"/>
          <w:sz w:val="28"/>
          <w:szCs w:val="28"/>
          <w:lang w:val="uk-UA"/>
        </w:rPr>
        <w:t xml:space="preserve">ого інформаційного суверенітету. 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Наук. пр. Нац. б-ки України ім.</w:t>
      </w:r>
      <w:r w:rsidR="005A6FBE">
        <w:rPr>
          <w:rFonts w:ascii="Times New Roman" w:hAnsi="Times New Roman" w:cs="Times New Roman"/>
          <w:sz w:val="28"/>
          <w:szCs w:val="28"/>
          <w:lang w:val="uk-UA"/>
        </w:rPr>
        <w:t xml:space="preserve"> В. І. Вернадського. 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Київ, 2015. Вип. 41. С. 39–53.</w:t>
      </w:r>
      <w:bookmarkEnd w:id="7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Ref68842825"/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Гурковський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В. І. Захист іміджу Української держави в умовах інформаційної глобалізації. </w:t>
      </w:r>
      <w:r w:rsidRPr="005A6FBE">
        <w:rPr>
          <w:rFonts w:ascii="Times New Roman" w:hAnsi="Times New Roman" w:cs="Times New Roman"/>
          <w:i/>
          <w:sz w:val="28"/>
          <w:szCs w:val="28"/>
          <w:lang w:val="uk-UA"/>
        </w:rPr>
        <w:t>Державне управління: теорія та практика</w:t>
      </w:r>
      <w:r w:rsidR="005A6FBE" w:rsidRPr="005A6FB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5A6FBE">
        <w:rPr>
          <w:rFonts w:ascii="Times New Roman" w:hAnsi="Times New Roman" w:cs="Times New Roman"/>
          <w:sz w:val="28"/>
          <w:szCs w:val="28"/>
          <w:lang w:val="uk-UA"/>
        </w:rPr>
        <w:t xml:space="preserve"> 2012. </w:t>
      </w:r>
      <w:r w:rsidR="005A6FBE">
        <w:rPr>
          <w:rFonts w:ascii="Times New Roman" w:hAnsi="Times New Roman" w:cs="Times New Roman"/>
          <w:sz w:val="28"/>
          <w:szCs w:val="28"/>
          <w:lang w:val="uk-UA"/>
        </w:rPr>
        <w:lastRenderedPageBreak/>
        <w:t>№ 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2. URL: http://nbuv.gov.ua/UJRN/Dutp_2012_2_11 (дата звернення: 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09.04.2021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).</w:t>
      </w:r>
      <w:bookmarkEnd w:id="8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Динник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І. Розвиток української держави у контексті реалізації стратегії сталого розвитку «Україна – 2020». </w:t>
      </w:r>
      <w:r w:rsidRPr="005A6F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Ефективність державного управління: Збірник наукових праць. 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2015. Вип. 43. С. 264–271.</w:t>
      </w:r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Дяченко Н. П. Інформаційно-аналітичне забезпечення діяльності органів державної влади та місцевого самоврядування. </w:t>
      </w:r>
      <w:r w:rsidRPr="005A6F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Публічне адміністрування: теорія та практика. 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2013. Вип. URL: http://nbuv.gov.ua/UJRN/Patp_2013_2_14 (дата звернення: 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09.04.2021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Захарова І. В.,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Філіпова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Л. Я. Основи інформаційно-аналітичної діяльності. Київ : «Центр учбової літератури», 2013. 336 с.</w:t>
      </w:r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Зовнішня політика України – 2014: стратегічні оцінки, прогнози та пріоритети / За ред. Г. М. Перепелиці, О. В.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Потєхіна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>. Київ : ВД «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Стилос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», 2015. 326 с. URL: http://fpri.kiev.ua/wp-content/uploads/2016/04/FPRI_Yearbook_2014.pdf (дата звернення: 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09.04.2021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Ref68842954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Інститут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Євро-Атлантичного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Співробітництва </w:t>
      </w:r>
      <w:hyperlink r:id="rId9" w:history="1">
        <w:r w:rsidRPr="00946B21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http://www.ieac.org.ua/public</w:t>
        </w:r>
      </w:hyperlink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09.04.2021)</w:t>
      </w:r>
      <w:bookmarkEnd w:id="9"/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Ref68843003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ІНСТИТУТ ЄВРОПЕЙСЬКОЇ ІНТЕГРАЦІЇ </w:t>
      </w:r>
      <w:hyperlink r:id="rId10" w:history="1">
        <w:r w:rsidRPr="00946B21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https://institutes.lnu.edu.ua/european-integration/news/</w:t>
        </w:r>
      </w:hyperlink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09.04.2021)</w:t>
      </w:r>
      <w:bookmarkEnd w:id="10"/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Клименко О. А. Мозкові центри як фактор впливу на політику держави в країнах Заходу. </w:t>
      </w:r>
      <w:r w:rsidRPr="005A6FBE">
        <w:rPr>
          <w:rFonts w:ascii="Times New Roman" w:hAnsi="Times New Roman" w:cs="Times New Roman"/>
          <w:i/>
          <w:sz w:val="28"/>
          <w:szCs w:val="28"/>
          <w:lang w:val="uk-UA"/>
        </w:rPr>
        <w:t>Проблеми міжнародних відносин: Зб. наук. праць.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2013. Вип. 6. С. 67–80.</w:t>
      </w:r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Концепція популяризації України в світі Просування інтересів України. URL: https://mip.gov.ua/files/pdf/MIP_Pop_Ukr_04.pdf 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(дата звернення: 09.04.2021)</w:t>
      </w:r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Луцишин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Г.,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Гончарук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А. Особливості розвитку культурної дипломатії України в сучасних умовах.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Vision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. 2017.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Vol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. 3.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1. P. 25–30. URL: http://ena.lp.edu.ua:8080/bitstream/ntb/39956/2/2017v3n1_Lutsyshyn_H-Peculiarities _of_ the_development_25-30.pdf 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(дата звернення: 09.04.2021)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Мельник Л.,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Паталонг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М., Сидорчук О. Аналітичні центри в Україні та Німеччині: головні розбіжності та перспективи співпраці. Київ : Фонд «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Демократичі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ініціативи», 2016. 30 с. </w:t>
      </w:r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Ref68843032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Міжнародний центр перспективних досліджень 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URL ^</w:t>
      </w:r>
      <w:hyperlink r:id="rId11" w:history="1">
        <w:r w:rsidR="00BD37A0" w:rsidRPr="00946B21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http://icps.com.ua/pro-mtspd/</w:t>
        </w:r>
      </w:hyperlink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09.04.2021)</w:t>
      </w:r>
      <w:bookmarkEnd w:id="11"/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Муковський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І.Т. Інформаційно-аналітична діяль</w:t>
      </w:r>
      <w:r w:rsidR="00B07FD7">
        <w:rPr>
          <w:rFonts w:ascii="Times New Roman" w:hAnsi="Times New Roman" w:cs="Times New Roman"/>
          <w:sz w:val="28"/>
          <w:szCs w:val="28"/>
          <w:lang w:val="uk-UA"/>
        </w:rPr>
        <w:t xml:space="preserve">ність у міжнародних відносинах. 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К.: Кондор, 2012. 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224с.</w:t>
      </w:r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_Ref68842857"/>
      <w:r w:rsidRPr="00946B21">
        <w:rPr>
          <w:rFonts w:ascii="Times New Roman" w:hAnsi="Times New Roman" w:cs="Times New Roman"/>
          <w:iCs/>
          <w:sz w:val="28"/>
          <w:szCs w:val="28"/>
          <w:lang w:val="uk-UA"/>
        </w:rPr>
        <w:t>Наконечна Д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. 11 % «мозкових центрів» України потрапило до списку найкращих аналітичних центрів світу за </w:t>
      </w:r>
      <w:r w:rsidR="00B07FD7">
        <w:rPr>
          <w:rFonts w:ascii="Times New Roman" w:hAnsi="Times New Roman" w:cs="Times New Roman"/>
          <w:sz w:val="28"/>
          <w:szCs w:val="28"/>
          <w:lang w:val="uk-UA"/>
        </w:rPr>
        <w:t xml:space="preserve">2013 рік. 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Гурт : ресурсний центр. URL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: http://gurt.org.ua/news/recent/21172. 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(дата звернення: 09.04.2021)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12"/>
    </w:p>
    <w:p w:rsidR="00BD37A0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B21">
        <w:rPr>
          <w:rFonts w:ascii="Times New Roman" w:hAnsi="Times New Roman" w:cs="Times New Roman"/>
          <w:iCs/>
          <w:sz w:val="28"/>
          <w:szCs w:val="28"/>
          <w:lang w:val="uk-UA"/>
        </w:rPr>
        <w:t>Новакова</w:t>
      </w:r>
      <w:proofErr w:type="spellEnd"/>
      <w:r w:rsidRPr="00946B2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 В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. Аналіз державної політики :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6B21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Луганськ :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Вид-во СНУ ім. В. Даля, 2013.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216 с. </w:t>
      </w:r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Палагнюк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Ю. В. Державні програми з питань європейської інтеграції України: основні напрямки. </w:t>
      </w:r>
      <w:r w:rsidRPr="00B07FD7">
        <w:rPr>
          <w:rFonts w:ascii="Times New Roman" w:hAnsi="Times New Roman" w:cs="Times New Roman"/>
          <w:i/>
          <w:sz w:val="28"/>
          <w:szCs w:val="28"/>
          <w:lang w:val="uk-UA"/>
        </w:rPr>
        <w:t>Наукові записки Інституту законодавства Верховної Ради України.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2014. № 2. С. 174–179. </w:t>
      </w:r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_Ref68842759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Політологія: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мультимедійн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r w:rsidR="00B07FD7">
        <w:rPr>
          <w:rFonts w:ascii="Times New Roman" w:hAnsi="Times New Roman" w:cs="Times New Roman"/>
          <w:sz w:val="28"/>
          <w:szCs w:val="28"/>
          <w:lang w:val="uk-UA"/>
        </w:rPr>
        <w:t xml:space="preserve">за ред. О. В. </w:t>
      </w:r>
      <w:proofErr w:type="spellStart"/>
      <w:r w:rsidR="00B07FD7">
        <w:rPr>
          <w:rFonts w:ascii="Times New Roman" w:hAnsi="Times New Roman" w:cs="Times New Roman"/>
          <w:sz w:val="28"/>
          <w:szCs w:val="28"/>
          <w:lang w:val="uk-UA"/>
        </w:rPr>
        <w:t>Павлишин</w:t>
      </w:r>
      <w:proofErr w:type="spellEnd"/>
      <w:r w:rsidR="00B07F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Національна академія внутрішніх справ. 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URL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: http://www.naiau.kiev.ua/books/mnp_politologia/Files/slovnikhtm. 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(дата звернення: 09.04.2021)</w:t>
      </w:r>
      <w:bookmarkEnd w:id="13"/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21">
        <w:rPr>
          <w:rFonts w:ascii="Times New Roman" w:hAnsi="Times New Roman" w:cs="Times New Roman"/>
          <w:sz w:val="28"/>
          <w:szCs w:val="28"/>
          <w:lang w:val="uk-UA"/>
        </w:rPr>
        <w:t>Попов О. Є. Пріоритети діяльності інститутів інтелектуального забезпечення</w:t>
      </w:r>
      <w:r w:rsidR="00B07FD7">
        <w:rPr>
          <w:rFonts w:ascii="Times New Roman" w:hAnsi="Times New Roman" w:cs="Times New Roman"/>
          <w:sz w:val="28"/>
          <w:szCs w:val="28"/>
          <w:lang w:val="uk-UA"/>
        </w:rPr>
        <w:t xml:space="preserve"> політики в Європейському Союз. </w:t>
      </w:r>
      <w:r w:rsidRPr="00B07FD7">
        <w:rPr>
          <w:rFonts w:ascii="Times New Roman" w:hAnsi="Times New Roman" w:cs="Times New Roman"/>
          <w:i/>
          <w:sz w:val="28"/>
          <w:szCs w:val="28"/>
          <w:lang w:val="uk-UA"/>
        </w:rPr>
        <w:t>Філософія і політологія в контексті сучасної культури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012.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Вип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. 4(3). 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С. 175—179.</w:t>
      </w:r>
    </w:p>
    <w:p w:rsidR="00724004" w:rsidRPr="00946B21" w:rsidRDefault="00724004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_Ref68842788"/>
      <w:r w:rsidRPr="00946B21">
        <w:rPr>
          <w:rFonts w:ascii="Times New Roman" w:hAnsi="Times New Roman" w:cs="Times New Roman"/>
          <w:iCs/>
          <w:sz w:val="28"/>
          <w:szCs w:val="28"/>
          <w:lang w:val="uk-UA"/>
        </w:rPr>
        <w:t>Роговик О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. Аналітична революція чи аналітична еволюція? Контекст прогресивного розвитку України 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URL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: http://iac.org.ua/analitichna-revolyutsiya-chi-analitichna-evolyutsiya-kontekst-progresivnogo-rozvitku-ukrayini. 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(дата звернення: 09.04.2021)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14"/>
    </w:p>
    <w:p w:rsidR="00BB159B" w:rsidRPr="00946B21" w:rsidRDefault="00B07FD7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History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Mission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>Congressional</w:t>
      </w:r>
      <w:proofErr w:type="spellEnd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>Service</w:t>
      </w:r>
      <w:proofErr w:type="spellEnd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>Careers</w:t>
      </w:r>
      <w:proofErr w:type="spellEnd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>Library</w:t>
      </w:r>
      <w:proofErr w:type="spellEnd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>Congress</w:t>
      </w:r>
      <w:proofErr w:type="spellEnd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>website</w:t>
      </w:r>
      <w:proofErr w:type="spellEnd"/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URL</w:t>
      </w:r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: https://www.loc.gov/crsinfo/about/history.html. 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(дата звернення: 09.04.2021)</w:t>
      </w:r>
      <w:r w:rsidR="00BB159B" w:rsidRPr="0094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59B" w:rsidRPr="00946B21" w:rsidRDefault="00BB159B" w:rsidP="0091321A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lastRenderedPageBreak/>
        <w:t>Work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B07FD7">
        <w:rPr>
          <w:rFonts w:ascii="Times New Roman" w:hAnsi="Times New Roman" w:cs="Times New Roman"/>
          <w:sz w:val="28"/>
          <w:szCs w:val="28"/>
          <w:lang w:val="uk-UA"/>
        </w:rPr>
        <w:t>nd</w:t>
      </w:r>
      <w:proofErr w:type="spellEnd"/>
      <w:r w:rsidR="00B07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7FD7">
        <w:rPr>
          <w:rFonts w:ascii="Times New Roman" w:hAnsi="Times New Roman" w:cs="Times New Roman"/>
          <w:sz w:val="28"/>
          <w:szCs w:val="28"/>
          <w:lang w:val="uk-UA"/>
        </w:rPr>
        <w:t>Legislative</w:t>
      </w:r>
      <w:proofErr w:type="spellEnd"/>
      <w:r w:rsidR="00B07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7FD7">
        <w:rPr>
          <w:rFonts w:ascii="Times New Roman" w:hAnsi="Times New Roman" w:cs="Times New Roman"/>
          <w:sz w:val="28"/>
          <w:szCs w:val="28"/>
          <w:lang w:val="uk-UA"/>
        </w:rPr>
        <w:t>Reference</w:t>
      </w:r>
      <w:proofErr w:type="spellEnd"/>
      <w:r w:rsidR="00B07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7FD7">
        <w:rPr>
          <w:rFonts w:ascii="Times New Roman" w:hAnsi="Times New Roman" w:cs="Times New Roman"/>
          <w:sz w:val="28"/>
          <w:szCs w:val="28"/>
          <w:lang w:val="uk-UA"/>
        </w:rPr>
        <w:t>Bureau</w:t>
      </w:r>
      <w:proofErr w:type="spellEnd"/>
      <w:r w:rsidR="00B07F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Diet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6B21">
        <w:rPr>
          <w:rFonts w:ascii="Times New Roman" w:hAnsi="Times New Roman" w:cs="Times New Roman"/>
          <w:sz w:val="28"/>
          <w:szCs w:val="28"/>
          <w:lang w:val="uk-UA"/>
        </w:rPr>
        <w:t>Library</w:t>
      </w:r>
      <w:proofErr w:type="spellEnd"/>
      <w:r w:rsidRPr="00946B21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URL</w:t>
      </w:r>
      <w:r w:rsidRPr="00946B21">
        <w:rPr>
          <w:rFonts w:ascii="Times New Roman" w:hAnsi="Times New Roman" w:cs="Times New Roman"/>
          <w:sz w:val="28"/>
          <w:szCs w:val="28"/>
          <w:lang w:val="uk-UA"/>
        </w:rPr>
        <w:t>: http://www.ndl.go.jp/en/diet/service/works.html.</w:t>
      </w:r>
      <w:r w:rsidR="00BD37A0" w:rsidRPr="00946B21">
        <w:rPr>
          <w:rFonts w:ascii="Times New Roman" w:hAnsi="Times New Roman" w:cs="Times New Roman"/>
          <w:sz w:val="28"/>
          <w:szCs w:val="28"/>
          <w:lang w:val="uk-UA"/>
        </w:rPr>
        <w:t>(дата звернення: 09.04.2021).</w:t>
      </w:r>
    </w:p>
    <w:sectPr w:rsidR="00BB159B" w:rsidRPr="00946B21" w:rsidSect="00946B21">
      <w:headerReference w:type="default" r:id="rId12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BE" w:rsidRDefault="00BE64BE" w:rsidP="008D3E6D">
      <w:pPr>
        <w:spacing w:after="0" w:line="240" w:lineRule="auto"/>
      </w:pPr>
      <w:r>
        <w:separator/>
      </w:r>
    </w:p>
  </w:endnote>
  <w:endnote w:type="continuationSeparator" w:id="0">
    <w:p w:rsidR="00BE64BE" w:rsidRDefault="00BE64BE" w:rsidP="008D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nap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BE" w:rsidRDefault="00BE64BE" w:rsidP="008D3E6D">
      <w:pPr>
        <w:spacing w:after="0" w:line="240" w:lineRule="auto"/>
      </w:pPr>
      <w:r>
        <w:separator/>
      </w:r>
    </w:p>
  </w:footnote>
  <w:footnote w:type="continuationSeparator" w:id="0">
    <w:p w:rsidR="00BE64BE" w:rsidRDefault="00BE64BE" w:rsidP="008D3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6403395"/>
      <w:docPartObj>
        <w:docPartGallery w:val="Page Numbers (Top of Page)"/>
        <w:docPartUnique/>
      </w:docPartObj>
    </w:sdtPr>
    <w:sdtContent>
      <w:p w:rsidR="009E03BD" w:rsidRDefault="006A1B73">
        <w:pPr>
          <w:pStyle w:val="a3"/>
          <w:jc w:val="right"/>
        </w:pPr>
        <w:r>
          <w:fldChar w:fldCharType="begin"/>
        </w:r>
        <w:r w:rsidR="009E03BD">
          <w:instrText>PAGE   \* MERGEFORMAT</w:instrText>
        </w:r>
        <w:r>
          <w:fldChar w:fldCharType="separate"/>
        </w:r>
        <w:r w:rsidR="00570BB5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673"/>
    <w:multiLevelType w:val="hybridMultilevel"/>
    <w:tmpl w:val="CB680EB4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A4472"/>
    <w:multiLevelType w:val="hybridMultilevel"/>
    <w:tmpl w:val="25E4E986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8A6AC2"/>
    <w:multiLevelType w:val="hybridMultilevel"/>
    <w:tmpl w:val="CF847D20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A711B2"/>
    <w:multiLevelType w:val="hybridMultilevel"/>
    <w:tmpl w:val="FF6209BA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D67A6E"/>
    <w:multiLevelType w:val="hybridMultilevel"/>
    <w:tmpl w:val="5D060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B315C7"/>
    <w:multiLevelType w:val="hybridMultilevel"/>
    <w:tmpl w:val="4440B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BBE4598"/>
    <w:multiLevelType w:val="hybridMultilevel"/>
    <w:tmpl w:val="3E48C134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4A1416"/>
    <w:multiLevelType w:val="hybridMultilevel"/>
    <w:tmpl w:val="8B8CF78E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EF5687"/>
    <w:multiLevelType w:val="hybridMultilevel"/>
    <w:tmpl w:val="9A72B720"/>
    <w:lvl w:ilvl="0" w:tplc="508C594E">
      <w:start w:val="1"/>
      <w:numFmt w:val="bullet"/>
      <w:lvlText w:val="−"/>
      <w:lvlJc w:val="left"/>
      <w:pPr>
        <w:ind w:left="1429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697607"/>
    <w:multiLevelType w:val="hybridMultilevel"/>
    <w:tmpl w:val="809A0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E6D"/>
    <w:rsid w:val="0012394D"/>
    <w:rsid w:val="00516702"/>
    <w:rsid w:val="00570BB5"/>
    <w:rsid w:val="00582606"/>
    <w:rsid w:val="005A6FBE"/>
    <w:rsid w:val="006A1B73"/>
    <w:rsid w:val="00724004"/>
    <w:rsid w:val="007B6440"/>
    <w:rsid w:val="008D3E6D"/>
    <w:rsid w:val="0091321A"/>
    <w:rsid w:val="00946B21"/>
    <w:rsid w:val="009E03BD"/>
    <w:rsid w:val="00A16A4D"/>
    <w:rsid w:val="00B07FD7"/>
    <w:rsid w:val="00BB159B"/>
    <w:rsid w:val="00BD37A0"/>
    <w:rsid w:val="00BE64BE"/>
    <w:rsid w:val="00E543DE"/>
    <w:rsid w:val="00EE6FBE"/>
    <w:rsid w:val="00FE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4D"/>
  </w:style>
  <w:style w:type="paragraph" w:styleId="1">
    <w:name w:val="heading 1"/>
    <w:basedOn w:val="a"/>
    <w:next w:val="a"/>
    <w:link w:val="10"/>
    <w:uiPriority w:val="9"/>
    <w:qFormat/>
    <w:rsid w:val="008D3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D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E6D"/>
  </w:style>
  <w:style w:type="paragraph" w:styleId="a5">
    <w:name w:val="footer"/>
    <w:basedOn w:val="a"/>
    <w:link w:val="a6"/>
    <w:uiPriority w:val="99"/>
    <w:unhideWhenUsed/>
    <w:rsid w:val="008D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E6D"/>
  </w:style>
  <w:style w:type="paragraph" w:styleId="a7">
    <w:name w:val="List Paragraph"/>
    <w:basedOn w:val="a"/>
    <w:uiPriority w:val="34"/>
    <w:qFormat/>
    <w:rsid w:val="008D3E6D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FE13C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E13C3"/>
    <w:pPr>
      <w:spacing w:after="100"/>
    </w:pPr>
  </w:style>
  <w:style w:type="character" w:styleId="a9">
    <w:name w:val="Hyperlink"/>
    <w:basedOn w:val="a0"/>
    <w:uiPriority w:val="99"/>
    <w:unhideWhenUsed/>
    <w:rsid w:val="00FE13C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E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13C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E13C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D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E6D"/>
  </w:style>
  <w:style w:type="paragraph" w:styleId="a5">
    <w:name w:val="footer"/>
    <w:basedOn w:val="a"/>
    <w:link w:val="a6"/>
    <w:uiPriority w:val="99"/>
    <w:unhideWhenUsed/>
    <w:rsid w:val="008D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E6D"/>
  </w:style>
  <w:style w:type="paragraph" w:styleId="a7">
    <w:name w:val="List Paragraph"/>
    <w:basedOn w:val="a"/>
    <w:uiPriority w:val="34"/>
    <w:qFormat/>
    <w:rsid w:val="008D3E6D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FE13C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E13C3"/>
    <w:pPr>
      <w:spacing w:after="100"/>
    </w:pPr>
  </w:style>
  <w:style w:type="character" w:styleId="a9">
    <w:name w:val="Hyperlink"/>
    <w:basedOn w:val="a0"/>
    <w:uiPriority w:val="99"/>
    <w:unhideWhenUsed/>
    <w:rsid w:val="00FE13C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E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13C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E13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%D0%9C%D0%BE%D0%B8%20%D0%B4%D0%BE%D0%BA%D1%83%D0%BC%D0%B5%D0%BD%D1%82%D1%8B\Downloads\%D0%93%D1%80%D0%B0%D0%BD%D1%87%D0%B0%D0%BA%20%D0%A2.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ps.com.ua/pro-mtspd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institutes.lnu.edu.ua/european-integration/ne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ac.org.ua/publ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79CB-0C1B-4446-96C1-EAA3C95D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Ilienkova</cp:lastModifiedBy>
  <cp:revision>8</cp:revision>
  <dcterms:created xsi:type="dcterms:W3CDTF">2021-04-09T02:37:00Z</dcterms:created>
  <dcterms:modified xsi:type="dcterms:W3CDTF">2021-04-09T15:35:00Z</dcterms:modified>
</cp:coreProperties>
</file>