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8E57A5" w:rsidRPr="00EC6730" w:rsidRDefault="007C6F5B" w:rsidP="00137355">
      <w:pPr>
        <w:spacing w:line="360" w:lineRule="auto"/>
        <w:ind w:right="-74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ЗМІСТ</w:t>
      </w:r>
    </w:p>
    <w:p w14:paraId="00000002" w14:textId="6DE85175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00000003" w14:textId="6A0796D5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РОЗДІЛ 1. ПОНЯТТЯ ТА ОСОБЛИВОСТІ АДМІНІСТРАТИВНОЇ ДІЯЛЬНОСТІ ГРУП РЕАГУВАННЯ ПАТРУЛЬНОЇ ПОЛІЦІЇ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</w:t>
      </w:r>
      <w:proofErr w:type="gram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gram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14:paraId="00000004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адміністративної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</w:t>
      </w:r>
    </w:p>
    <w:p w14:paraId="00000005" w14:textId="236FB5C5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Тактична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адміністративної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</w:t>
      </w:r>
      <w:proofErr w:type="spell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</w:t>
      </w:r>
      <w:proofErr w:type="gram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…....</w:t>
      </w:r>
      <w:proofErr w:type="gram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</w:p>
    <w:p w14:paraId="00000006" w14:textId="5319EBF8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РОЗДІЛ 2. ОСОБЛИВОСТІ ЮРИДИЧНОЇ ВІДПОВІДАЛЬНОСТІ ПРАЦІВНИКІВ ГРУП РЕАГУВАННЯ ПАТРУЛЬНОЇ ПОЛІЦІЇ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  <w:proofErr w:type="gram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14:paraId="00000007" w14:textId="72F988E0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</w:t>
      </w:r>
      <w:proofErr w:type="gram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……....21</w:t>
      </w:r>
    </w:p>
    <w:p w14:paraId="00000008" w14:textId="595F1DBE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2.2.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</w:t>
      </w:r>
      <w:proofErr w:type="gram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…....</w:t>
      </w:r>
      <w:proofErr w:type="gram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</w:p>
    <w:p w14:paraId="00000009" w14:textId="1DBC7E1C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ВИСНОВКИ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</w:t>
      </w:r>
      <w:proofErr w:type="gramStart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proofErr w:type="gramEnd"/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</w:p>
    <w:p w14:paraId="0000000A" w14:textId="5784FCA5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ВИКОРИСТАНОЇ ЛІТЕРАТУРИ</w:t>
      </w:r>
      <w:r w:rsidR="001373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…………………………......30</w:t>
      </w:r>
    </w:p>
    <w:p w14:paraId="0000000B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C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D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E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F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0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1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2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3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4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8" w14:textId="6C30A267" w:rsidR="008E57A5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D33FBB" w14:textId="2225E867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518C2A" w14:textId="4D440D2E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BA730E" w14:textId="77777777" w:rsidR="00137355" w:rsidRPr="00EC6730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19" w14:textId="77777777" w:rsidR="008E57A5" w:rsidRPr="00EC6730" w:rsidRDefault="007C6F5B" w:rsidP="00137355">
      <w:pPr>
        <w:spacing w:line="360" w:lineRule="auto"/>
        <w:ind w:right="-74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ВСТУП</w:t>
      </w:r>
    </w:p>
    <w:p w14:paraId="0000001A" w14:textId="4F2D3F24" w:rsidR="008E57A5" w:rsidRPr="00D61A99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Актуальність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теми: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сьогодні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маємо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величезну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законодавчу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базу, яка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наділяє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осіб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правами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обов’язками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порушенні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Але не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0000001B" w14:textId="231106DA" w:rsidR="008E57A5" w:rsidRPr="00D61A99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Стан наукового дослідження на сьогодні визначається працями вчених та науковців, а саме: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Галай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А.О.,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Галай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В.О., Горбунова О.Ю., Золотарьова Н.І.,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Калюк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О.М.,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Константінов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</w:t>
      </w:r>
      <w:r w:rsidR="00D61A99"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В.М. Хомич, Р.Л.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Хачатуров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А.С.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Шабуров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М.Д. </w:t>
      </w:r>
      <w:proofErr w:type="spellStart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Шиндяпіна</w:t>
      </w:r>
      <w:proofErr w:type="spellEnd"/>
      <w:r w:rsidRP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інші.</w:t>
      </w:r>
    </w:p>
    <w:p w14:paraId="0000001C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Предметом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1D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Об’єктом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суспільні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відносини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виникають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обставинах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21" w14:textId="09EF05CF" w:rsidR="008E57A5" w:rsidRPr="00D61A99" w:rsidRDefault="007C6F5B" w:rsidP="00D61A99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Метою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00000022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Робота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складається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вступу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розділів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списку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використаної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літератури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аркушах</w:t>
      </w:r>
      <w:proofErr w:type="spellEnd"/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23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4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5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6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7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8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9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A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B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C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D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E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2F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0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1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2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3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4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5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6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7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8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9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A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B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C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РОЗДІЛ 1. ПОНЯТТЯ ТА ОСОБЛИВОСТІ АДМІНІСТРАТИВНОЇ ДІЯЛЬНОСТІ ГРУП РЕАГУВАННЯ ПАТРУЛЬНОЇ ПОЛІЦІЇ</w:t>
      </w:r>
    </w:p>
    <w:p w14:paraId="0000003D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E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3F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Поняття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адміністративної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поліції</w:t>
      </w:r>
      <w:proofErr w:type="spellEnd"/>
    </w:p>
    <w:p w14:paraId="00000040" w14:textId="71DF66CB" w:rsidR="008E57A5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Первинне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повідомлення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злочин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забезпечується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групами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― ГРПП)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наказу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111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16.02.2018 р.45.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― наряд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менше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оперативного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виконують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публічного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громадського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порядку,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взаємодії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населенням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дорожнього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руху,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запобігання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правопорушенням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подіям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оперативного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них.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територіальних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підрозділах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вони 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сектору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― СРПП) ―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підрозділу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цілодобово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оперативне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повідомлення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межах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також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комплекс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превентивних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шляхом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патрулювання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території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обслуговування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виявлення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припинення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правопорушень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законодавством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поліцейських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[2].</w:t>
      </w:r>
    </w:p>
    <w:p w14:paraId="181AB30C" w14:textId="77777777" w:rsidR="00137355" w:rsidRDefault="00137355" w:rsidP="00137355">
      <w:pPr>
        <w:spacing w:line="360" w:lineRule="auto"/>
        <w:ind w:right="-74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патрульної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створюються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7355">
        <w:rPr>
          <w:rFonts w:ascii="Times New Roman" w:hAnsi="Times New Roman" w:cs="Times New Roman"/>
          <w:sz w:val="28"/>
          <w:szCs w:val="28"/>
        </w:rPr>
        <w:t>у такому порядку</w:t>
      </w:r>
      <w:proofErr w:type="gramEnd"/>
      <w:r w:rsidRPr="001373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FC30173" w14:textId="20D8EE8B" w:rsidR="00137355" w:rsidRDefault="00137355" w:rsidP="00D61A99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35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сектори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патрульної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відділах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відділеннях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ГУНП на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патрульної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Департаменту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патрульної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7355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proofErr w:type="gramStart"/>
      <w:r w:rsidRPr="00137355">
        <w:rPr>
          <w:rFonts w:ascii="Times New Roman" w:hAnsi="Times New Roman" w:cs="Times New Roman"/>
          <w:sz w:val="28"/>
          <w:szCs w:val="28"/>
        </w:rPr>
        <w:t xml:space="preserve"> </w:t>
      </w:r>
      <w:r w:rsidR="00D61A99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41" w14:textId="7F955AA2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здійснює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свою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засадах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відкритості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прозорості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межах,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визначених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Конституцією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законами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Яке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втілюється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тому,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0000005E" w14:textId="5F892880" w:rsidR="008E57A5" w:rsidRPr="00EC6730" w:rsidRDefault="007C6F5B" w:rsidP="00D61A99">
      <w:pPr>
        <w:numPr>
          <w:ilvl w:val="0"/>
          <w:numId w:val="1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постійне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0000060" w14:textId="18B20E23" w:rsidR="008E57A5" w:rsidRPr="00D61A99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складають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окрему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структуру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gramEnd"/>
    </w:p>
    <w:p w14:paraId="00000061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62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1.2. Тактична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підготовка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адміністративної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поліції</w:t>
      </w:r>
      <w:proofErr w:type="spellEnd"/>
    </w:p>
    <w:p w14:paraId="00000063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кожного виду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поліцейських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тактична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комплекс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спрямований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набуття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вдосконалення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поліцейським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навичок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практичного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теоретичних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правильного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оцінювання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подальшим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прийняттям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правомірних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рішень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психологічної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ситуаціях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різних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ступенів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ризику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[4].</w:t>
      </w:r>
    </w:p>
    <w:p w14:paraId="7E8B45DE" w14:textId="413D7AB8" w:rsidR="00DE09CB" w:rsidRPr="00EC6730" w:rsidRDefault="007C6F5B" w:rsidP="00D61A99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побудована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поєднанні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елементів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(тактики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тактики,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цивільного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захисту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військової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топографії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дозволяє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досконало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вивчити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всебічного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особового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складу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типових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екстремальних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ситуаціях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виробити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практичні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рекомендації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вирішення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Будучи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складовою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службової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тісно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</w:t>
      </w:r>
      <w:proofErr w:type="spellEnd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‘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спілкуванні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зі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свідками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жертвами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злочинів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безпосередньо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стикаються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</w:rPr>
        <w:t>поліцією</w:t>
      </w:r>
      <w:proofErr w:type="spellEnd"/>
      <w:r w:rsidR="00DE09CB" w:rsidRPr="00EC67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E09CB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[7, с. 269-270].</w:t>
      </w:r>
    </w:p>
    <w:p w14:paraId="00000088" w14:textId="7570D6AE" w:rsidR="008E57A5" w:rsidRPr="00D61A99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учасники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можуть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діяти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протиправних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діяннях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навмання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розсуд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Кожен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випадок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gramEnd"/>
    </w:p>
    <w:p w14:paraId="00000089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8A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8B" w14:textId="4585B662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5B2AFC2" w14:textId="43C4862A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5BC9F4" w14:textId="75A6DC8F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6862D8" w14:textId="528328F0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C66E16" w14:textId="029570E8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1925CF" w14:textId="5714F73A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5D53FF" w14:textId="77777777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8C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8D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8E" w14:textId="2231B102" w:rsidR="008E57A5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605657" w14:textId="2192921C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FBF08D" w14:textId="1C7C4674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A7A183" w14:textId="317A53E6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F17AA4" w14:textId="671E1B0F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00FE3F" w14:textId="38658E65" w:rsidR="00137355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149262" w14:textId="77777777" w:rsidR="00137355" w:rsidRPr="00EC6730" w:rsidRDefault="0013735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8F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РОЗДІЛ 2. ОСОБЛИВОСТІ ЮРИДИЧНОЇ ВІДПОВІДАЛЬНОСТІ ПРАЦІВНИКІВ ГРУП РЕАГУВАННЯ ПАТРУЛЬНОЇ ПОЛІЦІЇ</w:t>
      </w:r>
    </w:p>
    <w:p w14:paraId="00000090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91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92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2.1.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Поняття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ознаки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0000093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підходів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з’ясування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сутності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розглядати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площинах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об’єктивного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права –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державного (державно-правового) примусу; у свою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чергу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елемент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правовідносин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контексті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теорії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правовідносин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цьому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необхідно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окремо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звернути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увагу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інститут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об’єктивного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права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елемент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змісту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відносин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низку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специфічних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характеризують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зазначене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явище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відповідній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площині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об’єктивного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суб’єктивного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права) [8, с. 13].</w:t>
      </w:r>
    </w:p>
    <w:p w14:paraId="00000094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правопорушника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уповноваженою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особою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передбаченої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санкцією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міри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державного примусу,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вираженого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позбавлень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особистого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майнового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організаційного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характеру.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00000095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примус — особа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виконує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обов’язки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незалежно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власної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777C67" w14:textId="1DA7CA0E" w:rsidR="006C2A24" w:rsidRPr="00EC6730" w:rsidRDefault="007C6F5B" w:rsidP="00D61A99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Кількісний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примус „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взагалі</w:t>
      </w:r>
      <w:proofErr w:type="spellEnd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”,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….</w:t>
      </w:r>
      <w:proofErr w:type="gramEnd"/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які</w:t>
      </w:r>
      <w:proofErr w:type="spellEnd"/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застосову</w:t>
      </w:r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ються</w:t>
      </w:r>
      <w:proofErr w:type="spellEnd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суб’єкта</w:t>
      </w:r>
      <w:proofErr w:type="spellEnd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правопорушення</w:t>
      </w:r>
      <w:proofErr w:type="spellEnd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за </w:t>
      </w:r>
      <w:proofErr w:type="spellStart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умови</w:t>
      </w:r>
      <w:proofErr w:type="spellEnd"/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наявності</w:t>
      </w:r>
      <w:proofErr w:type="spellEnd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необхідних</w:t>
      </w:r>
      <w:proofErr w:type="spellEnd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підстав</w:t>
      </w:r>
      <w:proofErr w:type="spellEnd"/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[</w:t>
      </w:r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28</w:t>
      </w:r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, с. 15</w:t>
      </w:r>
      <w:r w:rsidR="006C2A24" w:rsidRPr="006C2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00000099" w14:textId="618F6E39" w:rsidR="008E57A5" w:rsidRPr="00D61A99" w:rsidRDefault="007C6F5B" w:rsidP="00D61A99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вказані</w:t>
      </w:r>
      <w:proofErr w:type="spellEnd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..</w:t>
      </w:r>
      <w:proofErr w:type="gramEnd"/>
    </w:p>
    <w:p w14:paraId="0000009A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9B" w14:textId="77777777" w:rsidR="008E57A5" w:rsidRPr="00EC6730" w:rsidRDefault="008E57A5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000009C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Особливості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поліції</w:t>
      </w:r>
      <w:proofErr w:type="spellEnd"/>
    </w:p>
    <w:p w14:paraId="0000009D" w14:textId="77777777" w:rsidR="008E57A5" w:rsidRPr="00EC6730" w:rsidRDefault="007C6F5B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Правоохоронні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загалом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підрозділи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зокрема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відіграють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одну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ролей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реалізації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функцій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демократичної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соціальної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отже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основною метою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служіння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захист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прав, свобод і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інтересів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публічної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порядку,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послуг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правоохоронній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сфері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ефективності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завдань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покладені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державою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мірою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залежить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правопорядку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суспільстві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9E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Вчинення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злочинів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службовій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 само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допущення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ними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порушень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законодавства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вимагають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невідкладної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посиленої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реакції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боку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Адже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зневірюють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авторитеті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її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нівелюють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зусилля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розбудови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призводять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правового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нігілізму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боку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окремих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громадян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Тому в кожному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випадку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вчинення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працівником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законодавство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передбачає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00000A8" w14:textId="56473248" w:rsidR="008E57A5" w:rsidRPr="00D61A99" w:rsidRDefault="007C6F5B" w:rsidP="00D61A99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загальним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000000A9" w14:textId="5820A74B" w:rsidR="008E57A5" w:rsidRPr="00D61A99" w:rsidRDefault="007C6F5B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Підсумовуючи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викладене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вище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14:paraId="000000AA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AB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AC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AD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AE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AF" w14:textId="18A4E2A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97DCD7" w14:textId="08341DAD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2633217" w14:textId="5FAF89F1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4BDEA1" w14:textId="78801616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4DC39DC" w14:textId="06F1DC45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9BE949" w14:textId="45A3306D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85B1DF" w14:textId="31FDEAAB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207DE8" w14:textId="0A29FCC1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D23C01" w14:textId="0313A9F6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6BE3DD" w14:textId="11491075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08FFEB" w14:textId="1F991EDC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41A135" w14:textId="30FF021B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00874C" w14:textId="18348522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2E2F09" w14:textId="236F320C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D9834AC" w14:textId="77777777" w:rsidR="006C2A24" w:rsidRPr="00EC6730" w:rsidRDefault="006C2A24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B0" w14:textId="77777777" w:rsidR="008E57A5" w:rsidRPr="00EC6730" w:rsidRDefault="007C6F5B" w:rsidP="00137355">
      <w:pPr>
        <w:shd w:val="clear" w:color="auto" w:fill="FFFFFF"/>
        <w:spacing w:line="360" w:lineRule="auto"/>
        <w:ind w:right="-749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ВИСНОВКИ</w:t>
      </w:r>
    </w:p>
    <w:p w14:paraId="000000B6" w14:textId="53C035A8" w:rsidR="008E57A5" w:rsidRPr="00D61A99" w:rsidRDefault="007C6F5B" w:rsidP="00D61A99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дослідженні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дійшли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первинне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повідомлення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злочин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забезпечується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групами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Робота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ґрунтується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таких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принципах: верховенства права;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дотримання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 і свобод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відкритості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D61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…</w:t>
      </w:r>
    </w:p>
    <w:p w14:paraId="000000B7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B8" w14:textId="77777777" w:rsidR="008E57A5" w:rsidRPr="00EC6730" w:rsidRDefault="008E57A5" w:rsidP="00EC6730">
      <w:pPr>
        <w:shd w:val="clear" w:color="auto" w:fill="FFFFFF"/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B9" w14:textId="77777777" w:rsidR="008E57A5" w:rsidRPr="00EC6730" w:rsidRDefault="007C6F5B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СПИСОК ВИКОРИСТАНОЇ ЛІТЕРАТУРИ</w:t>
      </w:r>
    </w:p>
    <w:p w14:paraId="000000BA" w14:textId="74A619B3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Наказ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22.10.2012 № 940 «Про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реагування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повідомлення</w:t>
      </w:r>
      <w:proofErr w:type="spellEnd"/>
      <w:r w:rsidR="001904E8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1904E8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кримінальні</w:t>
      </w:r>
      <w:proofErr w:type="spellEnd"/>
      <w:r w:rsidR="001904E8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04E8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правопорушення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надзвичайні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ситуації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оперативного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інформування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органах і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підрозділах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000000BB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Кобзін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Черноусов.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Оцінка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інституційної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спроможності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Головного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управління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Донецькій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Харківський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інститут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соціальних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досліджень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(ХІСД)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 2020. с. 52</w:t>
      </w:r>
    </w:p>
    <w:p w14:paraId="000000BC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Катеринчук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І.П. ПРОФЕСІЙНА ПРОГРАМА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первинної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професійної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поліцейських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вперше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прийнято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службу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посади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поліцейських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інспекторів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патрульної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Одеса 2017. С. 594.</w:t>
      </w:r>
    </w:p>
    <w:p w14:paraId="000000BD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службової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Наказ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26.01.2016 № 50, п. 6</w:t>
      </w:r>
    </w:p>
    <w:p w14:paraId="000000BE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Тактико-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спеціальна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посіб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Дніпропетровський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університет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справ. 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Дніпро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ДДУВС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2017.  277 с</w:t>
      </w:r>
    </w:p>
    <w:p w14:paraId="000000BF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Адміністративна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поліцейська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Підручник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друге. За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редакцією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Коваленка В.В.,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Римаренка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Ю.І.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Олефіра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В.І.  </w:t>
      </w:r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 :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«Директ Лайн»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2012.  816 с.</w:t>
      </w:r>
    </w:p>
    <w:p w14:paraId="000000C0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Тактико-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спеціальна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О. 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Тьорло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Ю. Р.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Йосипів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В. М. Синенький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ЛьвДУВС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2018. 480 с. </w:t>
      </w:r>
    </w:p>
    <w:p w14:paraId="000000C1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Калінічєнко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поняття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Право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2020 р., № 1 (67) том 1. С. 12-16</w:t>
      </w:r>
    </w:p>
    <w:p w14:paraId="000000C2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Калінічєнко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ПРАВО.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Науковий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вісник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Ужгородського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національного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університету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Випуск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55. Том 1. 2019. С. 27-31</w:t>
      </w:r>
    </w:p>
    <w:p w14:paraId="000000C3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Адміністративна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діяльність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навчальний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посібник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для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іспиту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Калюк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О.М.,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Константінов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С.Ф.,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Куліков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В.А.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К.: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«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Освіта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»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2016.  230 с.</w:t>
      </w:r>
    </w:p>
    <w:p w14:paraId="000000C4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Попов С.В.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Форум права. 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2010. № 2. С. 388–394.</w:t>
      </w:r>
    </w:p>
    <w:p w14:paraId="000000C5" w14:textId="77777777" w:rsidR="008E57A5" w:rsidRPr="00EC6730" w:rsidRDefault="007C6F5B" w:rsidP="00EC6730">
      <w:pPr>
        <w:numPr>
          <w:ilvl w:val="0"/>
          <w:numId w:val="3"/>
        </w:numPr>
        <w:shd w:val="clear" w:color="auto" w:fill="FFFFFF"/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Литвиненко В.І.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Юридична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посадових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осіб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правоохоронних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як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суб’єктів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протидії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корупції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Україні</w:t>
      </w:r>
      <w:proofErr w:type="spellEnd"/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Право та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інновації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. 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2015. № 4. С. 102–109.</w:t>
      </w:r>
    </w:p>
    <w:p w14:paraId="000000C6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Адміністративна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відповідальність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провадження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справах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адміністративні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правопорушення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: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навч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посіб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[О.В. Кузьменко, І.Д. Пастух, О.К. Волох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.].  </w:t>
      </w:r>
      <w:proofErr w:type="spellStart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Київ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: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Нац. акад.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внутр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. справ,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2016.  412 с.</w:t>
      </w:r>
    </w:p>
    <w:p w14:paraId="000000C7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Адміністративна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діяльність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навчальний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посібник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для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іспиту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Калюк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О.М.,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Константінов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С.Ф.,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Куліков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В.А.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ін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 К.: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«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Освіта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»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2016.  230 с.</w:t>
      </w:r>
    </w:p>
    <w:p w14:paraId="000000C8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Адміністративна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діяльність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внутрішніх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справ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питаннях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відповідях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Навчальний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посібник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Видання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друге.  К.: ПП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«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Дірект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Лайн»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Київ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 2014.  236 с.</w:t>
      </w:r>
    </w:p>
    <w:p w14:paraId="000000C9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Азаров Д. С.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Трансформація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адміністративних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правопорушень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кримінальні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проступки: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концептуальні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засади.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Наука і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правоохорона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.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 2013.  № 1.  С. 146–151.</w:t>
      </w:r>
    </w:p>
    <w:p w14:paraId="000000CA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Александров Д.О.,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Андросюк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В.Г.,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Казміренко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Л.І.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психологічної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готовності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ОВС до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екстремальних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ситуаціях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затримання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озброєного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злочинця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: наук.-</w:t>
      </w:r>
      <w:proofErr w:type="spellStart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практ.посібн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.К.Чернівці: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Чернівецький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нац.ун-т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,2013.96 с.</w:t>
      </w:r>
    </w:p>
    <w:p w14:paraId="000000CB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Бабосов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Е. М. Конфликтология. М: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Амалфея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2012.  324 c.</w:t>
      </w:r>
    </w:p>
    <w:p w14:paraId="000000CC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Бориславська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О. Верховенство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конституції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чи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верховенство права: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деякі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питання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відновлення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окремих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положень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Конституції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О.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Бориславська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Вісник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Конституційного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Суду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 2015.  № 6.  С. 48-57.</w:t>
      </w:r>
    </w:p>
    <w:p w14:paraId="000000CD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Давидова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О.В.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Деякі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аспекти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формування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позитивного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іміджу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міліції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/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Актуальні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проблеми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психології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зб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Матеріалів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Наук.-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практ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конф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(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Київ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24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квіт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2015 р.).  К.: </w:t>
      </w:r>
      <w:proofErr w:type="spellStart"/>
      <w:proofErr w:type="gram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Нац.акад.внутр</w:t>
      </w:r>
      <w:proofErr w:type="gram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.справ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 2015.  252 с., С.142-145.</w:t>
      </w:r>
    </w:p>
    <w:p w14:paraId="000000CE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Конституція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proofErr w:type="gram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:</w:t>
      </w:r>
      <w:proofErr w:type="gram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прийнята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п’ятій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сесії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Верховної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Ради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28 червня 1996 року.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Відомості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Верховної</w:t>
      </w:r>
      <w:proofErr w:type="spellEnd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 xml:space="preserve"> Ради </w:t>
      </w:r>
      <w:proofErr w:type="spellStart"/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 1996.  № 30.  Ст. 141.</w:t>
      </w:r>
    </w:p>
    <w:p w14:paraId="000000CF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організаційно-правові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боротьби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організованою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злочинністю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Закон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30 червня 1993 року. </w:t>
      </w:r>
      <w:r w:rsidRPr="00EC673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white"/>
        </w:rPr>
        <w:t>ВВРУ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  1993.  № 35.  Ст.358.</w:t>
      </w:r>
    </w:p>
    <w:p w14:paraId="000000D0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Інструкція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організації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взаємодії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досудового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розслідування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іншими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органами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підрозділами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внутрішніх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справ у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попереджені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виявлені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та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розслідуванні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кримінальних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правопорушень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Наказ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23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серпня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2012 р. №700.</w:t>
      </w:r>
    </w:p>
    <w:p w14:paraId="000000D1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Інструкція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із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заходів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безпеки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поводженні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вогнепальною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зброєю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: Наказ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№ 70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01 лютого 2016 р.</w:t>
      </w:r>
    </w:p>
    <w:p w14:paraId="000000D2" w14:textId="77777777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Наказ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затвердження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Положення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організацію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первинної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професійної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поліцейських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яких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вперше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прийнято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службу в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16.02.2016 № 10. 138. </w:t>
      </w:r>
    </w:p>
    <w:p w14:paraId="000000D3" w14:textId="3963424F" w:rsidR="008E57A5" w:rsidRPr="00EC6730" w:rsidRDefault="007C6F5B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Наказ МВС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затвердження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Положення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про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організацію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службової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підготовки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працівників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Національної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поліції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України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від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26.01.2016 № 50</w:t>
      </w:r>
    </w:p>
    <w:p w14:paraId="2FF3AE10" w14:textId="562901BF" w:rsidR="001904E8" w:rsidRPr="00EC6730" w:rsidRDefault="001904E8" w:rsidP="00EC6730">
      <w:pPr>
        <w:numPr>
          <w:ilvl w:val="0"/>
          <w:numId w:val="3"/>
        </w:numPr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lastRenderedPageBreak/>
        <w:t xml:space="preserve">Лекція з теми Юридична відповідальність. </w:t>
      </w:r>
      <w:r w:rsidR="006C2A24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val="uk-UA"/>
        </w:rPr>
        <w:t>Національна академія внутрішніх справ. 2015. С. 15</w:t>
      </w:r>
    </w:p>
    <w:p w14:paraId="0ABBABA4" w14:textId="58CED4CA" w:rsidR="006C2A24" w:rsidRPr="00EC6730" w:rsidRDefault="006C2A24" w:rsidP="00EC6730">
      <w:pPr>
        <w:pStyle w:val="a5"/>
        <w:numPr>
          <w:ilvl w:val="0"/>
          <w:numId w:val="3"/>
        </w:numPr>
        <w:shd w:val="clear" w:color="auto" w:fill="FFFFFF"/>
        <w:spacing w:line="360" w:lineRule="auto"/>
        <w:ind w:left="0"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Калєніченко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Л.І.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Загальнотеоретична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характе</w:t>
      </w:r>
      <w:r w:rsidR="00EC6730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ристика </w:t>
      </w:r>
      <w:proofErr w:type="spellStart"/>
      <w:r w:rsidR="00EC6730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підстав</w:t>
      </w:r>
      <w:proofErr w:type="spellEnd"/>
      <w:r w:rsidR="00EC6730"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юридичної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відповідальності</w:t>
      </w:r>
      <w:proofErr w:type="spellEnd"/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EC67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Право і </w:t>
      </w:r>
      <w:proofErr w:type="spellStart"/>
      <w:r w:rsidRPr="00EC67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безпека</w:t>
      </w:r>
      <w:proofErr w:type="spellEnd"/>
      <w:r w:rsidRPr="00EC673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. </w:t>
      </w:r>
      <w:r w:rsidRPr="00EC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2016. № 4 (63). С. 20–24</w:t>
      </w:r>
    </w:p>
    <w:p w14:paraId="7E34DA45" w14:textId="77777777" w:rsidR="006C2A24" w:rsidRPr="00EC6730" w:rsidRDefault="006C2A24" w:rsidP="00EC6730">
      <w:pPr>
        <w:spacing w:line="360" w:lineRule="auto"/>
        <w:ind w:right="-74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sectPr w:rsidR="006C2A24" w:rsidRPr="00EC6730">
      <w:headerReference w:type="default" r:id="rId7"/>
      <w:pgSz w:w="11906" w:h="16838"/>
      <w:pgMar w:top="144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6F3BC" w14:textId="77777777" w:rsidR="003676AD" w:rsidRDefault="003676AD">
      <w:pPr>
        <w:spacing w:line="240" w:lineRule="auto"/>
      </w:pPr>
      <w:r>
        <w:separator/>
      </w:r>
    </w:p>
  </w:endnote>
  <w:endnote w:type="continuationSeparator" w:id="0">
    <w:p w14:paraId="50C44EB5" w14:textId="77777777" w:rsidR="003676AD" w:rsidRDefault="00367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2A990" w14:textId="77777777" w:rsidR="003676AD" w:rsidRDefault="003676AD">
      <w:pPr>
        <w:spacing w:line="240" w:lineRule="auto"/>
      </w:pPr>
      <w:r>
        <w:separator/>
      </w:r>
    </w:p>
  </w:footnote>
  <w:footnote w:type="continuationSeparator" w:id="0">
    <w:p w14:paraId="08E3E505" w14:textId="77777777" w:rsidR="003676AD" w:rsidRDefault="00367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D4" w14:textId="673298CF" w:rsidR="008E57A5" w:rsidRDefault="007C6F5B">
    <w:pPr>
      <w:jc w:val="right"/>
    </w:pPr>
    <w:r>
      <w:fldChar w:fldCharType="begin"/>
    </w:r>
    <w:r>
      <w:instrText>PAGE</w:instrText>
    </w:r>
    <w:r>
      <w:fldChar w:fldCharType="separate"/>
    </w:r>
    <w:r w:rsidR="00137355">
      <w:rPr>
        <w:noProof/>
      </w:rPr>
      <w:t>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D0F2A"/>
    <w:multiLevelType w:val="multilevel"/>
    <w:tmpl w:val="F2BCD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AC5B3B"/>
    <w:multiLevelType w:val="multilevel"/>
    <w:tmpl w:val="61A6B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61F0FC9"/>
    <w:multiLevelType w:val="multilevel"/>
    <w:tmpl w:val="8A6CCD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92418"/>
    <w:multiLevelType w:val="multilevel"/>
    <w:tmpl w:val="DA5233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5"/>
    <w:rsid w:val="00137355"/>
    <w:rsid w:val="001904E8"/>
    <w:rsid w:val="003676AD"/>
    <w:rsid w:val="00495BF2"/>
    <w:rsid w:val="006C2A24"/>
    <w:rsid w:val="007C6F5B"/>
    <w:rsid w:val="008E57A5"/>
    <w:rsid w:val="00D61A99"/>
    <w:rsid w:val="00DE09CB"/>
    <w:rsid w:val="00E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6DAA"/>
  <w15:docId w15:val="{89779039-BFD1-4CD0-9351-481C6641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C2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Смолярчук</dc:creator>
  <cp:lastModifiedBy>Оксана Смолярчук</cp:lastModifiedBy>
  <cp:revision>3</cp:revision>
  <dcterms:created xsi:type="dcterms:W3CDTF">2021-03-21T14:15:00Z</dcterms:created>
  <dcterms:modified xsi:type="dcterms:W3CDTF">2021-03-21T14:17:00Z</dcterms:modified>
</cp:coreProperties>
</file>