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DD" w:rsidRPr="00BB72E0" w:rsidRDefault="00A47428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ЗМІСТ</w:t>
      </w:r>
    </w:p>
    <w:p w:rsidR="00E23BDD" w:rsidRPr="00BB72E0" w:rsidRDefault="00E23BDD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A47428" w:rsidRPr="00BB72E0" w:rsidRDefault="00A47428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ВСТУП………………………………………………………………</w:t>
      </w:r>
      <w:r w:rsidR="00BB72E0"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…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…….3</w:t>
      </w:r>
    </w:p>
    <w:p w:rsidR="00A47428" w:rsidRPr="00BB72E0" w:rsidRDefault="00A47428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РОЗДІЛ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1.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ТЕОРЕТИЧНІ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РОЗРОБКИ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У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КРИМІНАЛЬНОМУ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ПРОЦЕСІ,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ЩОДО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СЛІДЧО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(РОЗШУКОВОЇ)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ДІЇ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ВПІЗНАННЯ………………………………………………………………………5</w:t>
      </w:r>
    </w:p>
    <w:p w:rsidR="00A47428" w:rsidRPr="00BB72E0" w:rsidRDefault="00A47428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РОЗДІЛ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2.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ЗАГАЛЬНИІ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ПІДСТАВИ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ТА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ПРОЦЕСУАЛЬНИЙ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ПОРЯДОК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B72E0"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ВПІЗНАННЯ………………………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…..15</w:t>
      </w:r>
    </w:p>
    <w:p w:rsidR="00A47428" w:rsidRPr="00BB72E0" w:rsidRDefault="00BB72E0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2.1.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Окремі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види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впізнання…………………………..15</w:t>
      </w:r>
    </w:p>
    <w:p w:rsidR="00EF1593" w:rsidRPr="00BB72E0" w:rsidRDefault="00BB72E0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2.2.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Аналіз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процесуальних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документів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щодо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впізнання……………………………………….………………………………….15</w:t>
      </w:r>
    </w:p>
    <w:p w:rsidR="00EF1593" w:rsidRPr="00BB72E0" w:rsidRDefault="00A47428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ВИСНОВКИ…………………………………………………………</w:t>
      </w:r>
      <w:r w:rsidR="00BB72E0"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..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…</w:t>
      </w:r>
      <w:r w:rsidR="00F97A8C"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...23</w:t>
      </w:r>
    </w:p>
    <w:p w:rsidR="00E23BDD" w:rsidRPr="00BB72E0" w:rsidRDefault="00A47428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СПИСОК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ВИКОРИСТАНИХ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ДЖЕРЕЛ…..………………………...….</w:t>
      </w:r>
      <w:r w:rsidR="00F97A8C"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33</w:t>
      </w:r>
    </w:p>
    <w:p w:rsidR="00E23BDD" w:rsidRPr="00BB72E0" w:rsidRDefault="00BB72E0" w:rsidP="00BB72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column"/>
      </w:r>
      <w:r w:rsidR="0028083E" w:rsidRPr="00BB72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ВСТУП</w:t>
      </w:r>
    </w:p>
    <w:p w:rsidR="00E23BDD" w:rsidRPr="00BB72E0" w:rsidRDefault="00E23BDD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C60133" w:rsidRPr="00BB72E0" w:rsidRDefault="00E23BDD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b/>
          <w:color w:val="000000"/>
          <w:sz w:val="28"/>
          <w:szCs w:val="28"/>
          <w:shd w:val="clear" w:color="auto" w:fill="FFFFFF"/>
        </w:rPr>
        <w:t>Актуальність</w:t>
      </w:r>
      <w:r w:rsidR="00BB72E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b/>
          <w:color w:val="000000"/>
          <w:sz w:val="28"/>
          <w:szCs w:val="28"/>
          <w:shd w:val="clear" w:color="auto" w:fill="FFFFFF"/>
        </w:rPr>
        <w:t>теми.</w:t>
      </w:r>
      <w:r w:rsidR="00BB72E0">
        <w:rPr>
          <w:color w:val="000000"/>
          <w:sz w:val="28"/>
          <w:szCs w:val="28"/>
          <w:shd w:val="clear" w:color="auto" w:fill="FFFFFF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Механізм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проведення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слідчих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(розшукових)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дій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встановлюється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основі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процесуальних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гарантій,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повинні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виконувати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всі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учасники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процесу.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Закон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передбачає,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що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однією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гарантій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є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процесуальний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запис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слідчих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(розшукових)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дій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допомогою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протоколу,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носія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інформації,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якому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процесуальні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дії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фіксуються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технічними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засобами.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Другий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концептуальний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підхід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проведення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слідчих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(слідчих)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дій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передбачає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забезпечення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прокурорського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нагляду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вигляді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процесуального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керівництва,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також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процесуального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контролю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слідчого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судді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справі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прийняття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рішення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проведення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слідчих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(слідчих)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дій,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що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тимчасово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обмежує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права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свободи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учасників.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Під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час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досудового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розслідування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загальною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слідчою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(розшуковою)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дією,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спрямованою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пошук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перевірку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доказів,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є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пред'явлення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6013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ідентифікації.</w:t>
      </w:r>
    </w:p>
    <w:p w:rsidR="00E23BDD" w:rsidRPr="00BB72E0" w:rsidRDefault="00E23BDD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b/>
          <w:color w:val="000000"/>
          <w:sz w:val="28"/>
          <w:szCs w:val="28"/>
          <w:shd w:val="clear" w:color="auto" w:fill="FFFFFF"/>
        </w:rPr>
        <w:t>Мета</w:t>
      </w:r>
      <w:r w:rsidR="00BB72E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b/>
          <w:color w:val="000000"/>
          <w:sz w:val="28"/>
          <w:szCs w:val="28"/>
          <w:shd w:val="clear" w:color="auto" w:fill="FFFFFF"/>
        </w:rPr>
        <w:t>курсової</w:t>
      </w:r>
      <w:r w:rsidR="00BB72E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b/>
          <w:color w:val="000000"/>
          <w:sz w:val="28"/>
          <w:szCs w:val="28"/>
          <w:shd w:val="clear" w:color="auto" w:fill="FFFFFF"/>
        </w:rPr>
        <w:t>роботи</w:t>
      </w:r>
      <w:r w:rsidR="00BB72E0">
        <w:rPr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color w:val="000000"/>
          <w:sz w:val="28"/>
          <w:szCs w:val="28"/>
          <w:shd w:val="clear" w:color="auto" w:fill="FFFFFF"/>
        </w:rPr>
        <w:t>полягає</w:t>
      </w:r>
      <w:r w:rsidR="00BB72E0">
        <w:rPr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color w:val="000000"/>
          <w:sz w:val="28"/>
          <w:szCs w:val="28"/>
          <w:shd w:val="clear" w:color="auto" w:fill="FFFFFF"/>
        </w:rPr>
        <w:t>у</w:t>
      </w:r>
      <w:r w:rsidR="00BB72E0">
        <w:rPr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color w:val="000000"/>
          <w:sz w:val="28"/>
          <w:szCs w:val="28"/>
          <w:shd w:val="clear" w:color="auto" w:fill="FFFFFF"/>
        </w:rPr>
        <w:t>комплексному</w:t>
      </w:r>
      <w:r w:rsidR="00BB72E0">
        <w:rPr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color w:val="000000"/>
          <w:sz w:val="28"/>
          <w:szCs w:val="28"/>
          <w:shd w:val="clear" w:color="auto" w:fill="FFFFFF"/>
        </w:rPr>
        <w:t>та</w:t>
      </w:r>
      <w:r w:rsidR="00BB72E0">
        <w:rPr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color w:val="000000"/>
          <w:sz w:val="28"/>
          <w:szCs w:val="28"/>
          <w:shd w:val="clear" w:color="auto" w:fill="FFFFFF"/>
        </w:rPr>
        <w:t>об'єктивному</w:t>
      </w:r>
      <w:r w:rsidR="00BB72E0">
        <w:rPr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color w:val="000000"/>
          <w:sz w:val="28"/>
          <w:szCs w:val="28"/>
          <w:shd w:val="clear" w:color="auto" w:fill="FFFFFF"/>
        </w:rPr>
        <w:t>дослідженні</w:t>
      </w:r>
      <w:r w:rsidR="00BB72E0">
        <w:rPr>
          <w:color w:val="000000"/>
          <w:sz w:val="28"/>
          <w:szCs w:val="28"/>
          <w:shd w:val="clear" w:color="auto" w:fill="FFFFFF"/>
        </w:rPr>
        <w:t xml:space="preserve"> </w:t>
      </w:r>
      <w:r w:rsidR="00A02BC6" w:rsidRPr="00BB72E0">
        <w:rPr>
          <w:color w:val="000000"/>
          <w:sz w:val="28"/>
          <w:szCs w:val="28"/>
          <w:shd w:val="clear" w:color="auto" w:fill="FFFFFF"/>
        </w:rPr>
        <w:t>підстав</w:t>
      </w:r>
      <w:r w:rsidR="00BB72E0">
        <w:rPr>
          <w:color w:val="000000"/>
          <w:sz w:val="28"/>
          <w:szCs w:val="28"/>
          <w:shd w:val="clear" w:color="auto" w:fill="FFFFFF"/>
        </w:rPr>
        <w:t xml:space="preserve"> </w:t>
      </w:r>
      <w:r w:rsidR="00A02BC6" w:rsidRPr="00BB72E0">
        <w:rPr>
          <w:color w:val="000000"/>
          <w:sz w:val="28"/>
          <w:szCs w:val="28"/>
          <w:shd w:val="clear" w:color="auto" w:fill="FFFFFF"/>
        </w:rPr>
        <w:t>та</w:t>
      </w:r>
      <w:r w:rsidR="00BB72E0">
        <w:rPr>
          <w:color w:val="000000"/>
          <w:sz w:val="28"/>
          <w:szCs w:val="28"/>
          <w:shd w:val="clear" w:color="auto" w:fill="FFFFFF"/>
        </w:rPr>
        <w:t xml:space="preserve"> </w:t>
      </w:r>
      <w:r w:rsidR="00A02BC6" w:rsidRPr="00BB72E0">
        <w:rPr>
          <w:color w:val="000000"/>
          <w:sz w:val="28"/>
          <w:szCs w:val="28"/>
          <w:shd w:val="clear" w:color="auto" w:fill="FFFFFF"/>
        </w:rPr>
        <w:t>процесуального</w:t>
      </w:r>
      <w:r w:rsidR="00BB72E0">
        <w:rPr>
          <w:color w:val="000000"/>
          <w:sz w:val="28"/>
          <w:szCs w:val="28"/>
          <w:shd w:val="clear" w:color="auto" w:fill="FFFFFF"/>
        </w:rPr>
        <w:t xml:space="preserve"> </w:t>
      </w:r>
      <w:r w:rsidR="00A02BC6" w:rsidRPr="00BB72E0">
        <w:rPr>
          <w:color w:val="000000"/>
          <w:sz w:val="28"/>
          <w:szCs w:val="28"/>
          <w:shd w:val="clear" w:color="auto" w:fill="FFFFFF"/>
        </w:rPr>
        <w:t>порядку</w:t>
      </w:r>
      <w:r w:rsidR="00BB72E0">
        <w:rPr>
          <w:color w:val="000000"/>
          <w:sz w:val="28"/>
          <w:szCs w:val="28"/>
          <w:shd w:val="clear" w:color="auto" w:fill="FFFFFF"/>
        </w:rPr>
        <w:t xml:space="preserve"> </w:t>
      </w:r>
      <w:r w:rsidR="00A02BC6" w:rsidRPr="00BB72E0">
        <w:rPr>
          <w:color w:val="000000"/>
          <w:sz w:val="28"/>
          <w:szCs w:val="28"/>
          <w:shd w:val="clear" w:color="auto" w:fill="FFFFFF"/>
        </w:rPr>
        <w:t>пред’явлення</w:t>
      </w:r>
      <w:r w:rsidR="00BB72E0">
        <w:rPr>
          <w:color w:val="000000"/>
          <w:sz w:val="28"/>
          <w:szCs w:val="28"/>
          <w:shd w:val="clear" w:color="auto" w:fill="FFFFFF"/>
        </w:rPr>
        <w:t xml:space="preserve"> </w:t>
      </w:r>
      <w:r w:rsidR="00A02BC6" w:rsidRPr="00BB72E0">
        <w:rPr>
          <w:color w:val="000000"/>
          <w:sz w:val="28"/>
          <w:szCs w:val="28"/>
          <w:shd w:val="clear" w:color="auto" w:fill="FFFFFF"/>
        </w:rPr>
        <w:t>для</w:t>
      </w:r>
      <w:r w:rsidR="00BB72E0">
        <w:rPr>
          <w:color w:val="000000"/>
          <w:sz w:val="28"/>
          <w:szCs w:val="28"/>
          <w:shd w:val="clear" w:color="auto" w:fill="FFFFFF"/>
        </w:rPr>
        <w:t xml:space="preserve"> </w:t>
      </w:r>
      <w:r w:rsidR="00A02BC6" w:rsidRPr="00BB72E0">
        <w:rPr>
          <w:color w:val="000000"/>
          <w:sz w:val="28"/>
          <w:szCs w:val="28"/>
          <w:shd w:val="clear" w:color="auto" w:fill="FFFFFF"/>
        </w:rPr>
        <w:t>впізнання</w:t>
      </w:r>
      <w:r w:rsidRPr="00BB72E0">
        <w:rPr>
          <w:color w:val="000000"/>
          <w:sz w:val="28"/>
          <w:szCs w:val="28"/>
          <w:shd w:val="clear" w:color="auto" w:fill="FFFFFF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E23BDD" w:rsidRPr="00BB72E0" w:rsidRDefault="00E23BDD" w:rsidP="00BB7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72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Об’єктом</w:t>
      </w:r>
      <w:r w:rsidR="00BB72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дослідження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E91"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пред’явлення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E91"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E91"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впізнання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E91"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E91"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слідча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E91"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E91"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E91"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кримінальному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E91"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процесі</w:t>
      </w:r>
      <w:r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3BDD" w:rsidRPr="00BB72E0" w:rsidRDefault="00E23BDD" w:rsidP="00BB7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72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Предметом</w:t>
      </w:r>
      <w:r w:rsidR="00BB72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дослідження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083E"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підстави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083E"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процесуальний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пред’явлення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впізнання</w:t>
      </w:r>
      <w:r w:rsidR="0028083E" w:rsidRPr="00BB7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8083E" w:rsidRPr="00BB72E0" w:rsidRDefault="0028083E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РОЗДІЛ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1</w:t>
      </w:r>
    </w:p>
    <w:p w:rsidR="0037303B" w:rsidRPr="00BB72E0" w:rsidRDefault="0028083E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ТЕОРЕТИЧНІ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РОЗРОБКИ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У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КРИМІНАЛЬНОМУ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ПРОЦЕСІ,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ЩОДО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СЛІДЧО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(РОЗШУКОВОЇ)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ДІЇ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ВПІЗНАННЯ</w:t>
      </w:r>
    </w:p>
    <w:p w:rsidR="0028083E" w:rsidRPr="00BB72E0" w:rsidRDefault="0028083E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28083E" w:rsidRPr="00BB72E0" w:rsidRDefault="0028083E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можна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віднести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похідних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слідчих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дій,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оскільки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його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проведенню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завжди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передують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інші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слідчі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дії,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зокрема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слідчий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огляд,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затримання,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допит,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без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провадження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відбутися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може.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Однак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може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проводитися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початковому,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подальшому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етапах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розслідування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залежно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від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слідчої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ситуації,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що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склалася.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Так,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випадках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наявності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загрози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втрати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доказів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повинно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проводитися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невідкладному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порядку.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Невиправдане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зволікання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тягне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собою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негативні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наслідки.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Так,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значний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перебіг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часу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негативно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впливає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пам’ять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людини,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може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забути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ознаки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об’єктів,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сприймала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раніше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[1,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266].</w:t>
      </w:r>
    </w:p>
    <w:p w:rsidR="0028083E" w:rsidRPr="00BB72E0" w:rsidRDefault="0028083E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РОЗДІЛ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2</w:t>
      </w:r>
    </w:p>
    <w:p w:rsidR="0028083E" w:rsidRPr="00BB72E0" w:rsidRDefault="0028083E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ЗАГАЛЬНИІ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ПІДСТАВИ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ТА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ПРОЦЕСУАЛЬНИЙ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ПОРЯДОК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ВПІЗНАННЯ</w:t>
      </w:r>
    </w:p>
    <w:p w:rsidR="0028083E" w:rsidRPr="00BB72E0" w:rsidRDefault="0028083E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28083E" w:rsidRPr="00BB72E0" w:rsidRDefault="0028083E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2.1.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Окремі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види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впізнання</w:t>
      </w:r>
    </w:p>
    <w:p w:rsidR="00046CEC" w:rsidRPr="00BB72E0" w:rsidRDefault="00046CEC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046CEC" w:rsidRPr="00BB72E0" w:rsidRDefault="00046CEC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Загальні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процесуальні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вимоги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проведення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особи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речей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полягають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такому.</w:t>
      </w:r>
    </w:p>
    <w:p w:rsidR="00046CEC" w:rsidRPr="00BB72E0" w:rsidRDefault="00046CEC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Впізнанню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повинна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обов’язково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передувати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окрема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слідча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(розшукова)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дія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–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допит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особи,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впізнає,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під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час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обов’язково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з’ясовують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питання: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щодо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зовнішнього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вигляду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прикмет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особливих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ознак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об’єкта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впізнання;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обставини,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об’єкт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сприймався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раніше;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якщо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об’єкт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може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бути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сукупністю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ознак,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протоколі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допиту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зазначається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сукупністю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саме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ознак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може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відбутися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впізнання;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може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бажає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особа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взяти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участь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[11,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165].</w:t>
      </w:r>
    </w:p>
    <w:p w:rsidR="00046CEC" w:rsidRPr="00BB72E0" w:rsidRDefault="00046CEC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Проведення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попереднього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допиту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особи,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впізнає,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складання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протоколу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допиту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здійснює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слідчий,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прокурор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процесуально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уповноважена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особа.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проведенні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такого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допиту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може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брати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участь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захисник,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користується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цьому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усіма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наданими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йому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правами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[11,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165].</w:t>
      </w:r>
    </w:p>
    <w:p w:rsidR="00046CEC" w:rsidRPr="00BB72E0" w:rsidRDefault="00046CEC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Слід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визнати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можливим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проведення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речей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їх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фотознімками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матеріалами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відеозапису,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якщо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таке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проводиться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додержанням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вимог,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зазначених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ст.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229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КПК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[11,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32B95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165].</w:t>
      </w:r>
    </w:p>
    <w:p w:rsidR="0028083E" w:rsidRPr="00BB72E0" w:rsidRDefault="0028083E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BB72E0">
        <w:rPr>
          <w:b/>
          <w:sz w:val="28"/>
          <w:szCs w:val="28"/>
          <w:shd w:val="clear" w:color="auto" w:fill="FFFFFF"/>
        </w:rPr>
        <w:t>2.2.</w:t>
      </w:r>
      <w:r w:rsidR="00BB72E0">
        <w:rPr>
          <w:b/>
          <w:sz w:val="28"/>
          <w:szCs w:val="28"/>
          <w:shd w:val="clear" w:color="auto" w:fill="FFFFFF"/>
        </w:rPr>
        <w:t xml:space="preserve"> </w:t>
      </w:r>
      <w:r w:rsidRPr="00BB72E0">
        <w:rPr>
          <w:b/>
          <w:sz w:val="28"/>
          <w:szCs w:val="28"/>
          <w:shd w:val="clear" w:color="auto" w:fill="FFFFFF"/>
        </w:rPr>
        <w:t>Аналіз</w:t>
      </w:r>
      <w:r w:rsidR="00BB72E0">
        <w:rPr>
          <w:b/>
          <w:sz w:val="28"/>
          <w:szCs w:val="28"/>
          <w:shd w:val="clear" w:color="auto" w:fill="FFFFFF"/>
        </w:rPr>
        <w:t xml:space="preserve"> </w:t>
      </w:r>
      <w:r w:rsidRPr="00BB72E0">
        <w:rPr>
          <w:b/>
          <w:sz w:val="28"/>
          <w:szCs w:val="28"/>
          <w:shd w:val="clear" w:color="auto" w:fill="FFFFFF"/>
        </w:rPr>
        <w:t>процесуальних</w:t>
      </w:r>
      <w:r w:rsidR="00BB72E0">
        <w:rPr>
          <w:b/>
          <w:sz w:val="28"/>
          <w:szCs w:val="28"/>
          <w:shd w:val="clear" w:color="auto" w:fill="FFFFFF"/>
        </w:rPr>
        <w:t xml:space="preserve"> </w:t>
      </w:r>
      <w:r w:rsidRPr="00BB72E0">
        <w:rPr>
          <w:b/>
          <w:sz w:val="28"/>
          <w:szCs w:val="28"/>
          <w:shd w:val="clear" w:color="auto" w:fill="FFFFFF"/>
        </w:rPr>
        <w:t>документів</w:t>
      </w:r>
      <w:r w:rsidR="00BB72E0">
        <w:rPr>
          <w:b/>
          <w:sz w:val="28"/>
          <w:szCs w:val="28"/>
          <w:shd w:val="clear" w:color="auto" w:fill="FFFFFF"/>
        </w:rPr>
        <w:t xml:space="preserve"> </w:t>
      </w:r>
      <w:r w:rsidRPr="00BB72E0">
        <w:rPr>
          <w:b/>
          <w:sz w:val="28"/>
          <w:szCs w:val="28"/>
          <w:shd w:val="clear" w:color="auto" w:fill="FFFFFF"/>
        </w:rPr>
        <w:t>щодо</w:t>
      </w:r>
      <w:r w:rsidR="00BB72E0">
        <w:rPr>
          <w:b/>
          <w:sz w:val="28"/>
          <w:szCs w:val="28"/>
          <w:shd w:val="clear" w:color="auto" w:fill="FFFFFF"/>
        </w:rPr>
        <w:t xml:space="preserve"> </w:t>
      </w:r>
      <w:r w:rsidRPr="00BB72E0">
        <w:rPr>
          <w:b/>
          <w:sz w:val="28"/>
          <w:szCs w:val="28"/>
          <w:shd w:val="clear" w:color="auto" w:fill="FFFFFF"/>
        </w:rPr>
        <w:t>пред’явлення</w:t>
      </w:r>
      <w:r w:rsidR="00BB72E0">
        <w:rPr>
          <w:b/>
          <w:sz w:val="28"/>
          <w:szCs w:val="28"/>
          <w:shd w:val="clear" w:color="auto" w:fill="FFFFFF"/>
        </w:rPr>
        <w:t xml:space="preserve"> </w:t>
      </w:r>
      <w:r w:rsidRPr="00BB72E0">
        <w:rPr>
          <w:b/>
          <w:sz w:val="28"/>
          <w:szCs w:val="28"/>
          <w:shd w:val="clear" w:color="auto" w:fill="FFFFFF"/>
        </w:rPr>
        <w:t>для</w:t>
      </w:r>
      <w:r w:rsidR="00BB72E0">
        <w:rPr>
          <w:b/>
          <w:sz w:val="28"/>
          <w:szCs w:val="28"/>
          <w:shd w:val="clear" w:color="auto" w:fill="FFFFFF"/>
        </w:rPr>
        <w:t xml:space="preserve"> </w:t>
      </w:r>
      <w:r w:rsidRPr="00BB72E0">
        <w:rPr>
          <w:b/>
          <w:sz w:val="28"/>
          <w:szCs w:val="28"/>
          <w:shd w:val="clear" w:color="auto" w:fill="FFFFFF"/>
        </w:rPr>
        <w:t>впізнання</w:t>
      </w:r>
    </w:p>
    <w:p w:rsidR="0028083E" w:rsidRPr="00BB72E0" w:rsidRDefault="0028083E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88503D" w:rsidRPr="00BB72E0" w:rsidRDefault="0088503D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Слідчий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відділу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поліції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ХРУП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№1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ГУНП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Харківській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області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капітан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поліції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Іванов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Іван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Іванович,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кримінальному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провадженні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12021220060000063,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відомості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внесені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Єдиного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реєстру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досудових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розслідувань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18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березня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2021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року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приміщенні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кабінету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22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відділу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поліції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ХРУП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№1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ГУНП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Харківській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області,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яскравому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електричному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освітленні,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дотриманням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вимог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ст.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40,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104,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223,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228,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231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КПК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України,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присутності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осіб,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яким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роз’яснено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вимоги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ст.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66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КПК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України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</w:t>
      </w:r>
      <w:r w:rsidRPr="00BB72E0">
        <w:rPr>
          <w:b/>
          <w:sz w:val="28"/>
          <w:szCs w:val="28"/>
          <w:shd w:val="clear" w:color="auto" w:fill="FFFFFF"/>
        </w:rPr>
        <w:t>о</w:t>
      </w:r>
      <w:r w:rsidR="00BB72E0">
        <w:rPr>
          <w:b/>
          <w:sz w:val="28"/>
          <w:szCs w:val="28"/>
          <w:shd w:val="clear" w:color="auto" w:fill="FFFFFF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їх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обов’язок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розголошувати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відомості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щодо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проведеної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процесуальної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дії:</w:t>
      </w:r>
    </w:p>
    <w:p w:rsidR="0088503D" w:rsidRPr="00BB72E0" w:rsidRDefault="0088503D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Петров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Петро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Петрович,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15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жовтня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1980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року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народження,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прож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Харків,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вул.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Іванова,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буд.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17,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кв.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підпис/</w:t>
      </w:r>
    </w:p>
    <w:p w:rsidR="0088503D" w:rsidRPr="00BB72E0" w:rsidRDefault="0088503D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Сидоров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Руслан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Володимирович,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12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лютого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1983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року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народження,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прож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Харків,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Ввалентинівська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буд.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154,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кв.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27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підпис/</w:t>
      </w:r>
    </w:p>
    <w:p w:rsidR="0088503D" w:rsidRPr="00BB72E0" w:rsidRDefault="0088503D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яким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заздалегідь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повідомлено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застосування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технічних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засобів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фіксації,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умови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порядок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їх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використання: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цифровий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фотоапарат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Nikon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що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здійснює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фотографування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збереженням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зображення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цифровому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носії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–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карті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пам’яті.</w:t>
      </w:r>
    </w:p>
    <w:p w:rsidR="00A2283E" w:rsidRPr="00BB72E0" w:rsidRDefault="009C0026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ВИСНОВКИ</w:t>
      </w:r>
    </w:p>
    <w:p w:rsidR="00F97A8C" w:rsidRPr="00BB72E0" w:rsidRDefault="00F97A8C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DB0784" w:rsidRPr="00BB72E0" w:rsidRDefault="00DB0784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 w:rsidRPr="00BB72E0">
        <w:rPr>
          <w:bCs/>
          <w:sz w:val="28"/>
          <w:szCs w:val="28"/>
          <w:shd w:val="clear" w:color="auto" w:fill="FFFFFF"/>
        </w:rPr>
        <w:t>Пед'явлення</w:t>
      </w:r>
      <w:proofErr w:type="spellEnd"/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для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впізнання</w:t>
      </w:r>
      <w:r w:rsidR="00BB72E0">
        <w:rPr>
          <w:bCs/>
          <w:sz w:val="28"/>
          <w:szCs w:val="28"/>
          <w:shd w:val="clear" w:color="auto" w:fill="FFFFFF"/>
        </w:rPr>
        <w:t xml:space="preserve"> – </w:t>
      </w:r>
      <w:r w:rsidRPr="00BB72E0">
        <w:rPr>
          <w:bCs/>
          <w:sz w:val="28"/>
          <w:szCs w:val="28"/>
          <w:shd w:val="clear" w:color="auto" w:fill="FFFFFF"/>
        </w:rPr>
        <w:t>це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слідча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(розшукова)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дія,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під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час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якої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особі,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яка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впізнає,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пред'являється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об'єкт,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що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має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значення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для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кримінального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провадження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й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сприймався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нею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раніше.</w:t>
      </w:r>
      <w:r w:rsidR="00BB72E0">
        <w:rPr>
          <w:bCs/>
          <w:sz w:val="28"/>
          <w:szCs w:val="28"/>
          <w:shd w:val="clear" w:color="auto" w:fill="FFFFFF"/>
        </w:rPr>
        <w:t xml:space="preserve"> </w:t>
      </w:r>
      <w:r w:rsidRPr="00BB72E0">
        <w:rPr>
          <w:bCs/>
          <w:sz w:val="28"/>
          <w:szCs w:val="28"/>
          <w:shd w:val="clear" w:color="auto" w:fill="FFFFFF"/>
        </w:rPr>
        <w:t>Сам</w:t>
      </w:r>
      <w:r w:rsidR="00BB72E0">
        <w:rPr>
          <w:sz w:val="28"/>
          <w:szCs w:val="28"/>
          <w:shd w:val="clear" w:color="auto" w:fill="FFFFFF"/>
        </w:rPr>
        <w:t xml:space="preserve"> </w:t>
      </w:r>
      <w:r w:rsidRPr="00BB72E0">
        <w:rPr>
          <w:sz w:val="28"/>
          <w:szCs w:val="28"/>
          <w:shd w:val="clear" w:color="auto" w:fill="FFFFFF"/>
        </w:rPr>
        <w:t>процес</w:t>
      </w:r>
      <w:r w:rsidR="00BB72E0">
        <w:rPr>
          <w:sz w:val="28"/>
          <w:szCs w:val="28"/>
          <w:shd w:val="clear" w:color="auto" w:fill="FFFFFF"/>
        </w:rPr>
        <w:t xml:space="preserve"> </w:t>
      </w:r>
      <w:r w:rsidRPr="00BB72E0">
        <w:rPr>
          <w:sz w:val="28"/>
          <w:szCs w:val="28"/>
          <w:shd w:val="clear" w:color="auto" w:fill="FFFFFF"/>
        </w:rPr>
        <w:t>впізнання</w:t>
      </w:r>
      <w:r w:rsidR="00BB72E0">
        <w:rPr>
          <w:sz w:val="28"/>
          <w:szCs w:val="28"/>
          <w:shd w:val="clear" w:color="auto" w:fill="FFFFFF"/>
        </w:rPr>
        <w:t xml:space="preserve"> </w:t>
      </w:r>
      <w:r w:rsidRPr="00BB72E0">
        <w:rPr>
          <w:sz w:val="28"/>
          <w:szCs w:val="28"/>
          <w:shd w:val="clear" w:color="auto" w:fill="FFFFFF"/>
        </w:rPr>
        <w:t>можна</w:t>
      </w:r>
      <w:r w:rsidR="00BB72E0">
        <w:rPr>
          <w:sz w:val="28"/>
          <w:szCs w:val="28"/>
          <w:shd w:val="clear" w:color="auto" w:fill="FFFFFF"/>
        </w:rPr>
        <w:t xml:space="preserve"> </w:t>
      </w:r>
      <w:r w:rsidRPr="00BB72E0">
        <w:rPr>
          <w:sz w:val="28"/>
          <w:szCs w:val="28"/>
          <w:shd w:val="clear" w:color="auto" w:fill="FFFFFF"/>
        </w:rPr>
        <w:t>розглядати</w:t>
      </w:r>
      <w:r w:rsidR="00BB72E0">
        <w:rPr>
          <w:sz w:val="28"/>
          <w:szCs w:val="28"/>
          <w:shd w:val="clear" w:color="auto" w:fill="FFFFFF"/>
        </w:rPr>
        <w:t xml:space="preserve"> </w:t>
      </w:r>
      <w:r w:rsidR="00D42F7C" w:rsidRPr="00BB72E0">
        <w:rPr>
          <w:sz w:val="28"/>
          <w:szCs w:val="28"/>
          <w:shd w:val="clear" w:color="auto" w:fill="FFFFFF"/>
        </w:rPr>
        <w:t>як</w:t>
      </w:r>
      <w:r w:rsidR="00BB72E0">
        <w:rPr>
          <w:sz w:val="28"/>
          <w:szCs w:val="28"/>
          <w:shd w:val="clear" w:color="auto" w:fill="FFFFFF"/>
        </w:rPr>
        <w:t xml:space="preserve"> </w:t>
      </w:r>
      <w:r w:rsidR="00D42F7C" w:rsidRPr="00BB72E0">
        <w:rPr>
          <w:sz w:val="28"/>
          <w:szCs w:val="28"/>
          <w:shd w:val="clear" w:color="auto" w:fill="FFFFFF"/>
        </w:rPr>
        <w:t>складний</w:t>
      </w:r>
      <w:r w:rsidR="00BB72E0">
        <w:rPr>
          <w:sz w:val="28"/>
          <w:szCs w:val="28"/>
          <w:shd w:val="clear" w:color="auto" w:fill="FFFFFF"/>
        </w:rPr>
        <w:t xml:space="preserve"> </w:t>
      </w:r>
      <w:r w:rsidR="00D42F7C" w:rsidRPr="00BB72E0">
        <w:rPr>
          <w:sz w:val="28"/>
          <w:szCs w:val="28"/>
          <w:shd w:val="clear" w:color="auto" w:fill="FFFFFF"/>
        </w:rPr>
        <w:t>психологічний</w:t>
      </w:r>
      <w:r w:rsidR="00BB72E0">
        <w:rPr>
          <w:sz w:val="28"/>
          <w:szCs w:val="28"/>
          <w:shd w:val="clear" w:color="auto" w:fill="FFFFFF"/>
        </w:rPr>
        <w:t xml:space="preserve"> </w:t>
      </w:r>
      <w:r w:rsidR="00D42F7C" w:rsidRPr="00BB72E0">
        <w:rPr>
          <w:sz w:val="28"/>
          <w:szCs w:val="28"/>
          <w:shd w:val="clear" w:color="auto" w:fill="FFFFFF"/>
        </w:rPr>
        <w:t>акт.</w:t>
      </w:r>
      <w:r w:rsidR="00BB72E0">
        <w:rPr>
          <w:sz w:val="28"/>
          <w:szCs w:val="28"/>
          <w:shd w:val="clear" w:color="auto" w:fill="FFFFFF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Виділяють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два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різновиди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впізнання:</w:t>
      </w:r>
    </w:p>
    <w:p w:rsidR="00DB0784" w:rsidRPr="00BB72E0" w:rsidRDefault="00DB0784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1)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симультанне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(синтетичне,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цілісне)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миттєве,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відбувається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внаслідок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формування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зберігання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пам'яті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людини,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що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впізнає,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цілісного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образу.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B0784" w:rsidRPr="00BB72E0" w:rsidRDefault="00DB0784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2)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сукцесивне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(аналітичне,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поелементне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)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відбувається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поступово,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шляхом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уявного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порівняння,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відбору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зіставлення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окремих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ознак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того,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що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спостерігається,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образами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пам'яті.</w:t>
      </w:r>
    </w:p>
    <w:p w:rsidR="00222E91" w:rsidRPr="00BB72E0" w:rsidRDefault="009C0026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СПИСОК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ВИКОРИСТАНИХ</w:t>
      </w:r>
      <w:r w:rsid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ДЖЕРЕЛ</w:t>
      </w:r>
    </w:p>
    <w:p w:rsidR="00F97A8C" w:rsidRPr="00BB72E0" w:rsidRDefault="00F97A8C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D83882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1.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Чаплинська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Особливості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організаційно-підготовчих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заходів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Науковий</w:t>
      </w:r>
      <w:r w:rsidR="00BB72E0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вісник</w:t>
      </w:r>
      <w:r w:rsidR="00BB72E0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Дніпропетровського</w:t>
      </w:r>
      <w:r w:rsidR="00BB72E0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державного</w:t>
      </w:r>
      <w:r w:rsidR="00BB72E0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університету</w:t>
      </w:r>
      <w:r w:rsidR="00BB72E0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внутрішніх</w:t>
      </w:r>
      <w:r w:rsidR="00BB72E0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справ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2012.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Спеціальний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випуск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265-272.</w:t>
      </w:r>
    </w:p>
    <w:p w:rsidR="00D83882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Бишевець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О.В.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Тактико-психологічні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засади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Форум</w:t>
      </w:r>
      <w:r w:rsidR="00BB72E0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права.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2015.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24-32.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166653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Лук’янчиков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Є.,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Лук’янчиков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Є.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Дискусійні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питання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Матеріали</w:t>
      </w:r>
      <w:r w:rsidR="00BB72E0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1</w:t>
      </w:r>
      <w:r w:rsidR="00BB72E0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Міжнародної</w:t>
      </w:r>
      <w:r w:rsidR="00BB72E0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науково-практичної</w:t>
      </w:r>
      <w:r w:rsidR="00BB72E0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конференції</w:t>
      </w:r>
      <w:r w:rsidR="00BB72E0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«Малиновські</w:t>
      </w:r>
      <w:r w:rsidR="00BB72E0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читання».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2012.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286-288.</w:t>
      </w:r>
    </w:p>
    <w:p w:rsidR="00166653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Александров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Д.О..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Андросюк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В.Г.,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Казміренко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Л.І.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Юридична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психологія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К.: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КНХ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2007.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360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66653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83882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Кримінальне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процесуальне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право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України: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навчальний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посібник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заг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ред.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В.Г.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Гончаренка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В.А.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Колесника.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К.: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Юстиніан,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2014.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573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</w:p>
    <w:p w:rsidR="00D83882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6.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Тертишник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В.М.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Кримінальний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України.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Особлива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частина: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підручник.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К.: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Алерта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2014.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420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</w:p>
    <w:p w:rsidR="00D83882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7.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Чупрікова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Деякі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особливості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процедури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допиту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впливають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допустимість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отриманих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результатів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Право</w:t>
      </w:r>
      <w:r w:rsidR="00BB72E0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і</w:t>
      </w:r>
      <w:r w:rsidR="00BB72E0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>суспільство.</w:t>
      </w:r>
      <w:r w:rsidR="00BB72E0" w:rsidRPr="00BB72E0">
        <w:rPr>
          <w:rFonts w:eastAsiaTheme="minorHAnsi"/>
          <w:i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2015.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192-196</w:t>
      </w:r>
      <w:r w:rsidR="00D42F7C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83882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8.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Кримінальний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підручник.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заг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ред.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Коваленка,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Л.Д.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Удалової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Письменного.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"Ц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ентр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учбової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літератури",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2013.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544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</w:p>
    <w:p w:rsidR="00D83882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9.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7" w:history="1">
        <w:r w:rsidRP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Кримінальний</w:t>
        </w:r>
        <w:r w:rsid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 </w:t>
        </w:r>
        <w:r w:rsidRP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процесуальний</w:t>
        </w:r>
        <w:r w:rsid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 </w:t>
        </w:r>
        <w:r w:rsidRP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кодекс</w:t>
        </w:r>
        <w:r w:rsid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 </w:t>
        </w:r>
        <w:r w:rsidRP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України</w:t>
        </w:r>
      </w:hyperlink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від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13.04.2012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4651-VI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="Calibri"/>
          <w:color w:val="000000"/>
          <w:sz w:val="28"/>
          <w:szCs w:val="28"/>
          <w:shd w:val="clear" w:color="auto" w:fill="FFFFFF"/>
        </w:rPr>
        <w:t>URL:</w:t>
      </w:r>
      <w:r w:rsidR="00BB72E0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BB72E0" w:rsidRPr="005A0EF7">
          <w:rPr>
            <w:rStyle w:val="a3"/>
            <w:rFonts w:eastAsiaTheme="minorHAnsi"/>
            <w:sz w:val="28"/>
            <w:szCs w:val="28"/>
            <w:shd w:val="clear" w:color="auto" w:fill="FFFFFF"/>
            <w:lang w:eastAsia="en-US"/>
          </w:rPr>
          <w:t>http://zakon2.rada.gov.ua/laws/show/4651-17/</w:t>
        </w:r>
      </w:hyperlink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(дата звернення: 23.03.2021).</w:t>
      </w:r>
    </w:p>
    <w:p w:rsidR="00D83882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lang w:eastAsia="en-US"/>
        </w:rPr>
        <w:t>10.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Кримінальний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процесуальний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кодекс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України.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Науково-практичний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коментар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: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у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2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т.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/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за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lang w:eastAsia="en-US"/>
        </w:rPr>
        <w:t>заг</w:t>
      </w:r>
      <w:proofErr w:type="spellEnd"/>
      <w:r w:rsidRPr="00BB72E0">
        <w:rPr>
          <w:rFonts w:eastAsiaTheme="minorHAnsi"/>
          <w:color w:val="000000"/>
          <w:sz w:val="28"/>
          <w:szCs w:val="28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ред.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В.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Я.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lang w:eastAsia="en-US"/>
        </w:rPr>
        <w:t>Тація</w:t>
      </w:r>
      <w:proofErr w:type="spellEnd"/>
      <w:r w:rsidRPr="00BB72E0">
        <w:rPr>
          <w:rFonts w:eastAsiaTheme="minorHAnsi"/>
          <w:color w:val="000000"/>
          <w:sz w:val="28"/>
          <w:szCs w:val="28"/>
          <w:lang w:eastAsia="en-US"/>
        </w:rPr>
        <w:t>,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В.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П.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lang w:eastAsia="en-US"/>
        </w:rPr>
        <w:t>Пшонки</w:t>
      </w:r>
      <w:proofErr w:type="spellEnd"/>
      <w:r w:rsidRPr="00BB72E0">
        <w:rPr>
          <w:rFonts w:eastAsiaTheme="minorHAnsi"/>
          <w:color w:val="000000"/>
          <w:sz w:val="28"/>
          <w:szCs w:val="28"/>
          <w:lang w:eastAsia="en-US"/>
        </w:rPr>
        <w:t>,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А.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В.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lang w:eastAsia="en-US"/>
        </w:rPr>
        <w:t>Портнова</w:t>
      </w:r>
      <w:proofErr w:type="spellEnd"/>
      <w:r w:rsidRPr="00BB72E0">
        <w:rPr>
          <w:rFonts w:eastAsiaTheme="minorHAnsi"/>
          <w:color w:val="000000"/>
          <w:sz w:val="28"/>
          <w:szCs w:val="28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X.: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Право,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2012.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Т.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1.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768</w:t>
      </w:r>
      <w:r w:rsidR="00BB72E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lang w:eastAsia="en-US"/>
        </w:rPr>
        <w:t>с.</w:t>
      </w:r>
    </w:p>
    <w:p w:rsidR="00D83882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11.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Колесник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В.А.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Деякі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проблемні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питання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особи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речей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чинним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КПК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України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Вісник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Академії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адвокатури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України.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2013.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(26).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163-168.</w:t>
      </w:r>
    </w:p>
    <w:p w:rsidR="00D83882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12.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Яблоков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Н.П.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Криміналістика: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Підручник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Н.П.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Яблоков</w:t>
      </w:r>
      <w:proofErr w:type="spellEnd"/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Юристь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2001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398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83882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13.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Кримінальний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процесуальний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кодекс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України: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Науково-практичний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коментар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Відп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ред.: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СВ.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Ківалов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СМ.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Міщенко,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В.Ю.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Захарченко</w:t>
      </w:r>
      <w:proofErr w:type="spellEnd"/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X.: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Одіссей,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2013.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1104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</w:p>
    <w:p w:rsidR="00D83882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14.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Когутич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І.І.,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Калужна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О.М.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Проблема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вибору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належної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слідчої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дії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вирішення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завдання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ідентифікації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ділянки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місцевості,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будівлі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приміщення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слідами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пам’яті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Криміналістичний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вісник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наук..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практ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зб.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голов</w:t>
      </w:r>
      <w:proofErr w:type="spellEnd"/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ред.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Коваленко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ін.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ДНДЕКЦ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МВС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України;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НАВС.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ТОВ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«Еліт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Прінт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2012.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(17).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234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D83882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15.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Карпушин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Проблемні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питання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особи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Науковий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вісник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Херсонського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Державного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університету.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2015.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49-52.</w:t>
      </w:r>
    </w:p>
    <w:p w:rsidR="00D83882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16.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9" w:history="1">
        <w:r w:rsidR="009C0026" w:rsidRP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Рішення</w:t>
        </w:r>
        <w:r w:rsid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 </w:t>
        </w:r>
        <w:r w:rsidR="009C0026" w:rsidRP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у</w:t>
        </w:r>
        <w:r w:rsid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 </w:t>
        </w:r>
        <w:r w:rsidR="009C0026" w:rsidRP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с</w:t>
        </w:r>
        <w:r w:rsidRP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прав</w:t>
        </w:r>
        <w:r w:rsidR="009C0026" w:rsidRP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і</w:t>
        </w:r>
        <w:r w:rsid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 </w:t>
        </w:r>
        <w:r w:rsidRP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«Джулай</w:t>
        </w:r>
        <w:r w:rsid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 </w:t>
        </w:r>
        <w:r w:rsidRP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проти</w:t>
        </w:r>
        <w:r w:rsid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 </w:t>
        </w:r>
        <w:r w:rsidRP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України»</w:t>
        </w:r>
        <w:r w:rsid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 </w:t>
        </w:r>
        <w:r w:rsidRP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(Заява</w:t>
        </w:r>
        <w:r w:rsid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 </w:t>
        </w:r>
        <w:r w:rsidRP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№</w:t>
        </w:r>
        <w:r w:rsid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 </w:t>
        </w:r>
        <w:r w:rsidRPr="00BB72E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24439/06)</w:t>
        </w:r>
      </w:hyperlink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від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03.04.2014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="Calibri"/>
          <w:color w:val="000000"/>
          <w:sz w:val="28"/>
          <w:szCs w:val="28"/>
          <w:shd w:val="clear" w:color="auto" w:fill="FFFFFF"/>
        </w:rPr>
        <w:t>URL:</w:t>
      </w:r>
      <w:r w:rsidR="00BB72E0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http://zakon5.rada.gov.ua/laws/show/974_a12#n27</w:t>
      </w:r>
    </w:p>
    <w:p w:rsidR="00D83882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17.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Калужна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Мета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пред'явлення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контексті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його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співвідношення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тактичними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прийомами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інших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слідчих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дій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оперативно-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розшуковими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заходами,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основі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лежить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узнавання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Вісник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Львівського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університету.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2012.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55.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280–290.</w:t>
      </w:r>
    </w:p>
    <w:p w:rsidR="00D83882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18.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Чаплинський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Підготовка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пред’явлення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необхідна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умова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якісного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проведення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слідчої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дії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Право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суспільство.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2011.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227-231.</w:t>
      </w:r>
    </w:p>
    <w:p w:rsidR="003E0FD7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19.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Сичевський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В.В.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Актуальні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проблеми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проведення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режимі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відеоконференції</w:t>
      </w:r>
      <w:proofErr w:type="spellEnd"/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Юридичний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науковий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електронний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журнал.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2016.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133-136.</w:t>
      </w:r>
    </w:p>
    <w:p w:rsidR="003E0FD7" w:rsidRPr="00BB72E0" w:rsidRDefault="00D83882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Кримінальний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процесуальний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кодекс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України.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Науково-практичний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коментар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Є.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Блажівський</w:t>
      </w:r>
      <w:proofErr w:type="spellEnd"/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Грошевий,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Дьомін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ін.;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заг</w:t>
      </w:r>
      <w:proofErr w:type="spellEnd"/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ред.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Тація</w:t>
      </w:r>
      <w:proofErr w:type="spellEnd"/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Пшонки</w:t>
      </w:r>
      <w:proofErr w:type="spellEnd"/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Портнова</w:t>
      </w:r>
      <w:proofErr w:type="spellEnd"/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X.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Право,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2012.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664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E0FD7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</w:p>
    <w:p w:rsidR="00D83882" w:rsidRPr="00BB72E0" w:rsidRDefault="003E0FD7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21.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83882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Сопільник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83882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83882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83882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Судове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83882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впізнання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83882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83882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процесуально-організаційний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83882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засіб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83882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дослідження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83882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доказів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83882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судом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Порівняльно-аналітичне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C0026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право.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83882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2013.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83882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83882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83882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83882"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353-356.</w:t>
      </w:r>
    </w:p>
    <w:p w:rsidR="00222E91" w:rsidRPr="00BB72E0" w:rsidRDefault="007058A7" w:rsidP="00BB72E0">
      <w:pPr>
        <w:pStyle w:val="rvps2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22.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Практикум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складання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процесуальних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документів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навч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посібник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Кол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авт.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2-е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вид.,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перероб.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доп</w:t>
      </w:r>
      <w:proofErr w:type="spellEnd"/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Дніпро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Ліра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ЛТД,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2017.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308</w:t>
      </w:r>
      <w:r w:rsid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B72E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</w:t>
      </w:r>
    </w:p>
    <w:sectPr w:rsidR="00222E91" w:rsidRPr="00BB72E0" w:rsidSect="00BB72E0">
      <w:headerReference w:type="default" r:id="rId10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179" w:rsidRDefault="00463179" w:rsidP="00222E91">
      <w:pPr>
        <w:spacing w:after="0" w:line="240" w:lineRule="auto"/>
      </w:pPr>
      <w:r>
        <w:separator/>
      </w:r>
    </w:p>
  </w:endnote>
  <w:endnote w:type="continuationSeparator" w:id="0">
    <w:p w:rsidR="00463179" w:rsidRDefault="00463179" w:rsidP="0022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179" w:rsidRDefault="00463179" w:rsidP="00222E91">
      <w:pPr>
        <w:spacing w:after="0" w:line="240" w:lineRule="auto"/>
      </w:pPr>
      <w:r>
        <w:separator/>
      </w:r>
    </w:p>
  </w:footnote>
  <w:footnote w:type="continuationSeparator" w:id="0">
    <w:p w:rsidR="00463179" w:rsidRDefault="00463179" w:rsidP="0022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631306"/>
      <w:docPartObj>
        <w:docPartGallery w:val="Page Numbers (Top of Page)"/>
        <w:docPartUnique/>
      </w:docPartObj>
    </w:sdtPr>
    <w:sdtContent>
      <w:p w:rsidR="0088503D" w:rsidRDefault="006724B5">
        <w:pPr>
          <w:pStyle w:val="a5"/>
          <w:jc w:val="right"/>
        </w:pPr>
        <w:r>
          <w:fldChar w:fldCharType="begin"/>
        </w:r>
        <w:r w:rsidR="0088503D">
          <w:instrText>PAGE   \* MERGEFORMAT</w:instrText>
        </w:r>
        <w:r>
          <w:fldChar w:fldCharType="separate"/>
        </w:r>
        <w:r w:rsidR="006321D7" w:rsidRPr="006321D7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C6B"/>
    <w:rsid w:val="0003183F"/>
    <w:rsid w:val="000402AD"/>
    <w:rsid w:val="0004456C"/>
    <w:rsid w:val="00046CEC"/>
    <w:rsid w:val="000559A1"/>
    <w:rsid w:val="00063DA9"/>
    <w:rsid w:val="000C4983"/>
    <w:rsid w:val="000D6650"/>
    <w:rsid w:val="000F652C"/>
    <w:rsid w:val="001239B3"/>
    <w:rsid w:val="00124E04"/>
    <w:rsid w:val="001334B3"/>
    <w:rsid w:val="00166653"/>
    <w:rsid w:val="001B0587"/>
    <w:rsid w:val="00222E91"/>
    <w:rsid w:val="00277C4B"/>
    <w:rsid w:val="0028083E"/>
    <w:rsid w:val="0028160C"/>
    <w:rsid w:val="002C589D"/>
    <w:rsid w:val="002D2C5C"/>
    <w:rsid w:val="00305EB4"/>
    <w:rsid w:val="003519FC"/>
    <w:rsid w:val="0037303B"/>
    <w:rsid w:val="003B3890"/>
    <w:rsid w:val="003B3F89"/>
    <w:rsid w:val="003E0FD7"/>
    <w:rsid w:val="003F54B6"/>
    <w:rsid w:val="00405A3A"/>
    <w:rsid w:val="00435A44"/>
    <w:rsid w:val="00450BAC"/>
    <w:rsid w:val="00452ABE"/>
    <w:rsid w:val="00457E2A"/>
    <w:rsid w:val="00463179"/>
    <w:rsid w:val="00473CF6"/>
    <w:rsid w:val="004964F7"/>
    <w:rsid w:val="004A5EA3"/>
    <w:rsid w:val="004F34C0"/>
    <w:rsid w:val="00526675"/>
    <w:rsid w:val="00570371"/>
    <w:rsid w:val="005A670A"/>
    <w:rsid w:val="005E4736"/>
    <w:rsid w:val="00630A8C"/>
    <w:rsid w:val="006321D7"/>
    <w:rsid w:val="00632B95"/>
    <w:rsid w:val="00661AE2"/>
    <w:rsid w:val="00663897"/>
    <w:rsid w:val="00670126"/>
    <w:rsid w:val="006724B5"/>
    <w:rsid w:val="007058A7"/>
    <w:rsid w:val="00705CCE"/>
    <w:rsid w:val="007179CC"/>
    <w:rsid w:val="00737ADD"/>
    <w:rsid w:val="007418B9"/>
    <w:rsid w:val="00745744"/>
    <w:rsid w:val="007A6189"/>
    <w:rsid w:val="007C1F42"/>
    <w:rsid w:val="008615B7"/>
    <w:rsid w:val="0088503D"/>
    <w:rsid w:val="008C49CC"/>
    <w:rsid w:val="00904A17"/>
    <w:rsid w:val="00920DB6"/>
    <w:rsid w:val="009330C6"/>
    <w:rsid w:val="0094349D"/>
    <w:rsid w:val="00966CE3"/>
    <w:rsid w:val="00995FC9"/>
    <w:rsid w:val="009C0026"/>
    <w:rsid w:val="009C6CC9"/>
    <w:rsid w:val="009F1C35"/>
    <w:rsid w:val="00A02BC6"/>
    <w:rsid w:val="00A2283E"/>
    <w:rsid w:val="00A33386"/>
    <w:rsid w:val="00A47428"/>
    <w:rsid w:val="00A86E75"/>
    <w:rsid w:val="00AE7EF0"/>
    <w:rsid w:val="00B24C6B"/>
    <w:rsid w:val="00B54566"/>
    <w:rsid w:val="00BA1260"/>
    <w:rsid w:val="00BA42AD"/>
    <w:rsid w:val="00BB72E0"/>
    <w:rsid w:val="00C60133"/>
    <w:rsid w:val="00C74CB3"/>
    <w:rsid w:val="00C824B9"/>
    <w:rsid w:val="00CF3298"/>
    <w:rsid w:val="00D35AAA"/>
    <w:rsid w:val="00D42F7C"/>
    <w:rsid w:val="00D83882"/>
    <w:rsid w:val="00DB0784"/>
    <w:rsid w:val="00DF684F"/>
    <w:rsid w:val="00E23BDD"/>
    <w:rsid w:val="00E81338"/>
    <w:rsid w:val="00EC4917"/>
    <w:rsid w:val="00ED4852"/>
    <w:rsid w:val="00ED5526"/>
    <w:rsid w:val="00EF1593"/>
    <w:rsid w:val="00F048D8"/>
    <w:rsid w:val="00F70D27"/>
    <w:rsid w:val="00F75CC7"/>
    <w:rsid w:val="00F97A8C"/>
    <w:rsid w:val="00FA2A0F"/>
    <w:rsid w:val="00FA50AF"/>
    <w:rsid w:val="00FE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4F"/>
  </w:style>
  <w:style w:type="paragraph" w:styleId="3">
    <w:name w:val="heading 3"/>
    <w:basedOn w:val="a"/>
    <w:link w:val="30"/>
    <w:uiPriority w:val="9"/>
    <w:qFormat/>
    <w:rsid w:val="00452A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C6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2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452AB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E2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22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2E91"/>
  </w:style>
  <w:style w:type="paragraph" w:styleId="a7">
    <w:name w:val="footer"/>
    <w:basedOn w:val="a"/>
    <w:link w:val="a8"/>
    <w:uiPriority w:val="99"/>
    <w:unhideWhenUsed/>
    <w:rsid w:val="0022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2E91"/>
  </w:style>
  <w:style w:type="character" w:styleId="a9">
    <w:name w:val="Strong"/>
    <w:basedOn w:val="a0"/>
    <w:uiPriority w:val="22"/>
    <w:qFormat/>
    <w:rsid w:val="00BA1260"/>
    <w:rPr>
      <w:b/>
      <w:bCs/>
    </w:rPr>
  </w:style>
  <w:style w:type="character" w:customStyle="1" w:styleId="apple-converted-space">
    <w:name w:val="apple-converted-space"/>
    <w:basedOn w:val="a0"/>
    <w:rsid w:val="00ED4852"/>
  </w:style>
  <w:style w:type="character" w:customStyle="1" w:styleId="rvts9">
    <w:name w:val="rvts9"/>
    <w:basedOn w:val="a0"/>
    <w:rsid w:val="00ED4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4651-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go/4651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go/974_a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234B-A5BD-40FA-BC83-698C5022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Ilienkova</cp:lastModifiedBy>
  <cp:revision>20</cp:revision>
  <dcterms:created xsi:type="dcterms:W3CDTF">2021-03-22T14:29:00Z</dcterms:created>
  <dcterms:modified xsi:type="dcterms:W3CDTF">2021-03-23T09:43:00Z</dcterms:modified>
</cp:coreProperties>
</file>