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50D4" w14:textId="77777777" w:rsidR="00BA265C" w:rsidRDefault="00BA265C" w:rsidP="0048640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ЗМІСТ</w:t>
      </w:r>
    </w:p>
    <w:p w14:paraId="59F3C435" w14:textId="77777777" w:rsidR="00BA265C" w:rsidRPr="00BA265C" w:rsidRDefault="00BA265C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…………………………………………………………………………….3</w:t>
      </w:r>
    </w:p>
    <w:p w14:paraId="77BB145F" w14:textId="77777777" w:rsidR="00BA265C" w:rsidRPr="00BA265C" w:rsidRDefault="00BA265C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A265C"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. </w:t>
      </w:r>
      <w:r w:rsidRPr="00BA265C">
        <w:rPr>
          <w:rFonts w:ascii="Times New Roman" w:hAnsi="Times New Roman" w:cs="Times New Roman"/>
          <w:b/>
          <w:sz w:val="28"/>
          <w:szCs w:val="28"/>
          <w:lang w:val="uk-UA" w:bidi="uk-UA"/>
        </w:rPr>
        <w:t>ЗАГАЛЬНА ХАРАКТЕРИСТИКА ПІДСЛІДНОСТІ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………………………………………5</w:t>
      </w:r>
    </w:p>
    <w:p w14:paraId="5F0968A9" w14:textId="77777777" w:rsidR="00BA265C" w:rsidRPr="00BA265C" w:rsidRDefault="00BA265C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A265C">
        <w:rPr>
          <w:rFonts w:ascii="Times New Roman" w:hAnsi="Times New Roman" w:cs="Times New Roman"/>
          <w:sz w:val="28"/>
          <w:szCs w:val="28"/>
          <w:lang w:val="uk-UA" w:bidi="uk-UA"/>
        </w:rPr>
        <w:t>1.1.Виникнення й розвиток інституту підслідності в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……………………………………………………………………….5</w:t>
      </w:r>
    </w:p>
    <w:p w14:paraId="070107D2" w14:textId="77777777" w:rsidR="00BA265C" w:rsidRPr="00BA265C" w:rsidRDefault="00BA265C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A265C">
        <w:rPr>
          <w:rFonts w:ascii="Times New Roman" w:hAnsi="Times New Roman" w:cs="Times New Roman"/>
          <w:sz w:val="28"/>
          <w:szCs w:val="28"/>
          <w:lang w:val="uk-UA" w:bidi="uk-UA"/>
        </w:rPr>
        <w:t>1.2. Поняття «підслідність»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………………….14</w:t>
      </w:r>
    </w:p>
    <w:p w14:paraId="4D95B065" w14:textId="77777777" w:rsidR="00BA265C" w:rsidRPr="0048640A" w:rsidRDefault="00BA265C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A265C"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ІІ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. </w:t>
      </w:r>
      <w:r w:rsidRPr="00BA265C">
        <w:rPr>
          <w:rFonts w:ascii="Times New Roman" w:hAnsi="Times New Roman" w:cs="Times New Roman"/>
          <w:b/>
          <w:sz w:val="28"/>
          <w:szCs w:val="28"/>
          <w:lang w:val="uk-UA" w:bidi="uk-UA"/>
        </w:rPr>
        <w:t>ОСОБЛИВОСТІ ВИДІВ ТА ВСТАНОВЛЕННЯ ПІДСЛІДНОСТІ У КРИМІНАЛЬНОМУ ПРОВАДЖЕННІ</w:t>
      </w:r>
      <w:r w:rsidR="0048640A">
        <w:rPr>
          <w:rFonts w:ascii="Times New Roman" w:hAnsi="Times New Roman" w:cs="Times New Roman"/>
          <w:sz w:val="28"/>
          <w:szCs w:val="28"/>
          <w:lang w:val="uk-UA" w:bidi="uk-UA"/>
        </w:rPr>
        <w:t>……………...18</w:t>
      </w:r>
    </w:p>
    <w:p w14:paraId="029CF9DF" w14:textId="77777777" w:rsidR="00BA265C" w:rsidRPr="0048640A" w:rsidRDefault="00BA265C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8640A">
        <w:rPr>
          <w:rFonts w:ascii="Times New Roman" w:hAnsi="Times New Roman" w:cs="Times New Roman"/>
          <w:sz w:val="28"/>
          <w:szCs w:val="28"/>
          <w:lang w:val="uk-UA" w:bidi="uk-UA"/>
        </w:rPr>
        <w:t>2.1.Види підслідності у кримінальному провадженні</w:t>
      </w:r>
      <w:r w:rsidR="0048640A"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………………………...18</w:t>
      </w:r>
    </w:p>
    <w:p w14:paraId="5B2A980F" w14:textId="77777777" w:rsidR="00BA265C" w:rsidRPr="00BA265C" w:rsidRDefault="0048640A" w:rsidP="00BA26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8640A">
        <w:rPr>
          <w:rFonts w:ascii="Times New Roman" w:hAnsi="Times New Roman" w:cs="Times New Roman"/>
          <w:sz w:val="28"/>
          <w:szCs w:val="28"/>
          <w:lang w:val="uk-UA" w:bidi="uk-UA"/>
        </w:rPr>
        <w:t>2.2.Встановлення підслідності у кримінальному провадженні України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…….22</w:t>
      </w:r>
    </w:p>
    <w:p w14:paraId="0C184C33" w14:textId="77777777" w:rsidR="0048640A" w:rsidRPr="0048640A" w:rsidRDefault="0048640A" w:rsidP="0048640A">
      <w:p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8640A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…………………………………………………………………….30</w:t>
      </w:r>
    </w:p>
    <w:p w14:paraId="1B2FF55B" w14:textId="77777777" w:rsidR="0048640A" w:rsidRPr="0048640A" w:rsidRDefault="0048640A" w:rsidP="0048640A">
      <w:p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8640A">
        <w:rPr>
          <w:rFonts w:ascii="Times New Roman" w:hAnsi="Times New Roman" w:cs="Times New Roman"/>
          <w:b/>
          <w:sz w:val="28"/>
          <w:szCs w:val="28"/>
          <w:lang w:val="uk-UA" w:bidi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……………………………………33</w:t>
      </w:r>
    </w:p>
    <w:p w14:paraId="19E459B6" w14:textId="77777777" w:rsidR="00BA265C" w:rsidRDefault="00BA265C" w:rsidP="0048640A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85250B0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8EE6B45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D960F28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0D04A3E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1BD2F21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1C5A92E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6F8194A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6EEF29E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7DE5CDB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89D2602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FC7FC83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62EE2A3" w14:textId="77777777" w:rsidR="00BA265C" w:rsidRDefault="00BA265C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FB97821" w14:textId="77777777" w:rsidR="00BA265C" w:rsidRDefault="00BA265C" w:rsidP="00BA265C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9427FEC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lastRenderedPageBreak/>
        <w:t>ВСТУП</w:t>
      </w:r>
    </w:p>
    <w:p w14:paraId="37327D31" w14:textId="523D49FA" w:rsidR="003C1BAE" w:rsidRDefault="00BA265C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BA265C">
        <w:rPr>
          <w:rFonts w:ascii="Times New Roman" w:hAnsi="Times New Roman" w:cs="Times New Roman"/>
          <w:b/>
          <w:sz w:val="28"/>
          <w:szCs w:val="28"/>
          <w:lang w:val="uk-UA" w:bidi="uk-UA"/>
        </w:rPr>
        <w:t>Актуальність теми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Виконання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завдань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судочинства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тісно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пов’язане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з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належним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функціонуванням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системи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органів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досудового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розслідування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, яке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врегульоване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нормами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кримінального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процесуального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права. </w:t>
      </w:r>
      <w:proofErr w:type="spellStart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>Незважаючи</w:t>
      </w:r>
      <w:proofErr w:type="spellEnd"/>
      <w:r w:rsidR="00745870" w:rsidRPr="00745870">
        <w:rPr>
          <w:rFonts w:ascii="Times New Roman" w:hAnsi="Times New Roman" w:cs="Times New Roman"/>
          <w:sz w:val="28"/>
          <w:szCs w:val="28"/>
          <w:lang w:bidi="uk-UA"/>
        </w:rPr>
        <w:t xml:space="preserve"> на </w:t>
      </w:r>
      <w:r w:rsidR="002808DE">
        <w:rPr>
          <w:rFonts w:ascii="Times New Roman" w:hAnsi="Times New Roman" w:cs="Times New Roman"/>
          <w:sz w:val="28"/>
          <w:szCs w:val="28"/>
          <w:lang w:bidi="uk-UA"/>
        </w:rPr>
        <w:t>……</w:t>
      </w:r>
    </w:p>
    <w:p w14:paraId="26F98F54" w14:textId="7298D9E4" w:rsidR="00745870" w:rsidRDefault="00745870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74587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Стан </w:t>
      </w:r>
      <w:proofErr w:type="spellStart"/>
      <w:r w:rsidRPr="00745870">
        <w:rPr>
          <w:rFonts w:ascii="Times New Roman" w:hAnsi="Times New Roman" w:cs="Times New Roman"/>
          <w:b/>
          <w:sz w:val="28"/>
          <w:szCs w:val="28"/>
          <w:lang w:bidi="uk-UA"/>
        </w:rPr>
        <w:t>наукового</w:t>
      </w:r>
      <w:proofErr w:type="spellEnd"/>
      <w:r w:rsidRPr="00745870">
        <w:rPr>
          <w:rFonts w:ascii="Times New Roman" w:hAnsi="Times New Roman" w:cs="Times New Roman"/>
          <w:b/>
          <w:sz w:val="28"/>
          <w:szCs w:val="28"/>
          <w:lang w:bidi="uk-UA"/>
        </w:rPr>
        <w:t xml:space="preserve"> </w:t>
      </w:r>
      <w:proofErr w:type="spellStart"/>
      <w:r w:rsidRPr="00745870">
        <w:rPr>
          <w:rFonts w:ascii="Times New Roman" w:hAnsi="Times New Roman" w:cs="Times New Roman"/>
          <w:b/>
          <w:sz w:val="28"/>
          <w:szCs w:val="28"/>
          <w:lang w:bidi="uk-UA"/>
        </w:rPr>
        <w:t>дослдження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745870">
        <w:rPr>
          <w:rFonts w:ascii="Times New Roman" w:hAnsi="Times New Roman" w:cs="Times New Roman"/>
          <w:sz w:val="28"/>
          <w:szCs w:val="28"/>
          <w:lang w:val="uk-UA" w:bidi="uk-UA"/>
        </w:rPr>
        <w:t>Науково-тео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ретичним підґрунтям роботи</w:t>
      </w:r>
      <w:r w:rsidRPr="00745870">
        <w:rPr>
          <w:rFonts w:ascii="Times New Roman" w:hAnsi="Times New Roman" w:cs="Times New Roman"/>
          <w:sz w:val="28"/>
          <w:szCs w:val="28"/>
          <w:lang w:val="uk-UA" w:bidi="uk-UA"/>
        </w:rPr>
        <w:t xml:space="preserve"> стали результати вивчення висновків і пози</w:t>
      </w:r>
      <w:r w:rsidRPr="00745870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цій щодо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дослідження </w:t>
      </w:r>
      <w:r w:rsidRPr="00745870">
        <w:rPr>
          <w:rFonts w:ascii="Times New Roman" w:hAnsi="Times New Roman" w:cs="Times New Roman"/>
          <w:sz w:val="28"/>
          <w:szCs w:val="28"/>
          <w:lang w:val="uk-UA" w:bidi="uk-UA"/>
        </w:rPr>
        <w:t>«підслідність» та його розуміння, які наведено й обґрунто</w:t>
      </w:r>
      <w:r w:rsidRPr="00745870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вано в працях вітчизняних і зарубіжних учених у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745870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інших.</w:t>
      </w:r>
    </w:p>
    <w:p w14:paraId="4EFC4AC7" w14:textId="4B3B3602" w:rsidR="00745870" w:rsidRDefault="00745870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745870">
        <w:rPr>
          <w:rFonts w:ascii="Times New Roman" w:hAnsi="Times New Roman" w:cs="Times New Roman"/>
          <w:b/>
          <w:sz w:val="28"/>
          <w:szCs w:val="28"/>
          <w:lang w:val="uk-UA" w:bidi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полягає у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3FCD9626" w14:textId="77777777" w:rsidR="00745870" w:rsidRDefault="00745870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Відповідно до поставленої мети, необхідно вирішити наступні завдання:</w:t>
      </w:r>
    </w:p>
    <w:p w14:paraId="35CF0B04" w14:textId="3210F1D9" w:rsidR="00880D90" w:rsidRDefault="002808DE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62E65957" w14:textId="1B39872A" w:rsidR="00880D90" w:rsidRPr="00880D90" w:rsidRDefault="00880D90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278B2">
        <w:rPr>
          <w:rFonts w:ascii="Times New Roman" w:hAnsi="Times New Roman" w:cs="Times New Roman"/>
          <w:b/>
          <w:sz w:val="28"/>
          <w:szCs w:val="28"/>
          <w:lang w:val="uk-UA" w:bidi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суспільні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39FE43FC" w14:textId="4BB8A2B4" w:rsidR="003C1BAE" w:rsidRPr="00745870" w:rsidRDefault="00A278B2" w:rsidP="007458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278B2">
        <w:rPr>
          <w:rFonts w:ascii="Times New Roman" w:hAnsi="Times New Roman" w:cs="Times New Roman"/>
          <w:b/>
          <w:sz w:val="28"/>
          <w:szCs w:val="28"/>
          <w:lang w:val="uk-UA" w:bidi="uk-UA"/>
        </w:rPr>
        <w:t>Предметом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..</w:t>
      </w:r>
    </w:p>
    <w:p w14:paraId="6A82EB2B" w14:textId="36062B20" w:rsidR="0048640A" w:rsidRPr="0048640A" w:rsidRDefault="0048640A" w:rsidP="0048640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48640A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Методологічну основу </w:t>
      </w:r>
      <w:r w:rsidRPr="0048640A">
        <w:rPr>
          <w:rFonts w:ascii="Times New Roman" w:hAnsi="Times New Roman" w:cs="Times New Roman"/>
          <w:sz w:val="28"/>
          <w:szCs w:val="28"/>
          <w:lang w:val="uk-UA" w:bidi="uk-UA"/>
        </w:rPr>
        <w:t xml:space="preserve">складають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3B84BB8B" w14:textId="77777777" w:rsidR="003C1BAE" w:rsidRPr="0048640A" w:rsidRDefault="0048640A" w:rsidP="004864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8640A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Структура роботи. </w:t>
      </w:r>
      <w:r w:rsidRPr="0048640A">
        <w:rPr>
          <w:rFonts w:ascii="Times New Roman" w:hAnsi="Times New Roman" w:cs="Times New Roman"/>
          <w:sz w:val="28"/>
          <w:szCs w:val="28"/>
          <w:lang w:val="uk-UA" w:bidi="uk-UA"/>
        </w:rPr>
        <w:t>Курсова робота складається зі вступу, двох розділів, висновків та списку використаних джерел. Заг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альний обсяг роботи становить 35 сторінок</w:t>
      </w:r>
      <w:r w:rsidRPr="0048640A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6E1BA50D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597D098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C2A2E37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93BA30A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FEA6CCF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F5D012F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E036CEC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4767585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F875CB6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6FC9372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2B17ABF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DBEAE4D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731B3AA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8C65CB2" w14:textId="77777777" w:rsidR="003C1BAE" w:rsidRDefault="003C1BAE" w:rsidP="00AA4DF3">
      <w:pPr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CDEEDA2" w14:textId="77777777" w:rsidR="003C1BAE" w:rsidRDefault="003C1BAE" w:rsidP="003A7AF5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F4F38F2" w14:textId="77777777" w:rsidR="003C1BAE" w:rsidRDefault="003A7AF5" w:rsidP="003A7A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</w:t>
      </w:r>
    </w:p>
    <w:p w14:paraId="3D484E44" w14:textId="77777777" w:rsidR="003A7AF5" w:rsidRDefault="003A7AF5" w:rsidP="003A7A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ЗАГАЛЬНА ХАРАКТЕРИСТИКА ПІДСЛІДНОСТІ У КРИМІНАЛЬНОМУ ПРОВАДЖЕННІ</w:t>
      </w:r>
    </w:p>
    <w:p w14:paraId="19EF62F1" w14:textId="77777777" w:rsidR="00C54B82" w:rsidRDefault="003A7AF5" w:rsidP="003A7A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1.1.</w:t>
      </w:r>
      <w:r w:rsidR="00AA4DF3">
        <w:rPr>
          <w:rFonts w:ascii="Times New Roman" w:hAnsi="Times New Roman" w:cs="Times New Roman"/>
          <w:b/>
          <w:sz w:val="28"/>
          <w:szCs w:val="28"/>
          <w:lang w:val="uk-UA" w:bidi="uk-UA"/>
        </w:rPr>
        <w:t>Виникнення</w:t>
      </w:r>
      <w:r w:rsidR="00AA4DF3" w:rsidRPr="00AA4DF3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й розв</w:t>
      </w:r>
      <w:r w:rsidR="00AA4DF3">
        <w:rPr>
          <w:rFonts w:ascii="Times New Roman" w:hAnsi="Times New Roman" w:cs="Times New Roman"/>
          <w:b/>
          <w:sz w:val="28"/>
          <w:szCs w:val="28"/>
          <w:lang w:val="uk-UA" w:bidi="uk-UA"/>
        </w:rPr>
        <w:t>иток</w:t>
      </w:r>
      <w:r w:rsidR="00AA4DF3" w:rsidRPr="00AA4DF3"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інституту підслідності в кримінальному провадженні</w:t>
      </w:r>
    </w:p>
    <w:p w14:paraId="0FB38208" w14:textId="77777777" w:rsidR="00AA4DF3" w:rsidRPr="00AA4DF3" w:rsidRDefault="00AA4DF3" w:rsidP="00AA4D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Pr="00AA4DF3">
        <w:rPr>
          <w:rFonts w:ascii="Times New Roman" w:hAnsi="Times New Roman" w:cs="Times New Roman"/>
          <w:sz w:val="28"/>
          <w:szCs w:val="28"/>
          <w:lang w:val="uk-UA"/>
        </w:rPr>
        <w:t>ною мірою пролити світло на поставлене питання надає можливість звернення до низки історичних пам’яток вітчизняного права та результатів їх аналізу в роботах дослідників. Зокрема, у науці зазначається, що до XI ст. на території Київської Русі не було спеціальних органів та осіб, які мали виконувати розшукові й слідчі функції, з огляду на те, що на той час державність ще не набула достатнього розвитку для утворення відповідних владних інститутів.</w:t>
      </w:r>
    </w:p>
    <w:p w14:paraId="74903582" w14:textId="77777777" w:rsidR="00AA4DF3" w:rsidRPr="00AA4DF3" w:rsidRDefault="00AA4DF3" w:rsidP="00AA4D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DF3">
        <w:rPr>
          <w:rFonts w:ascii="Times New Roman" w:hAnsi="Times New Roman" w:cs="Times New Roman"/>
          <w:sz w:val="28"/>
          <w:szCs w:val="28"/>
          <w:lang w:val="uk-UA"/>
        </w:rPr>
        <w:t>Лише за часів дії Рус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Правди впроваджується поря</w:t>
      </w:r>
      <w:r w:rsidRPr="00AA4DF3">
        <w:rPr>
          <w:rFonts w:ascii="Times New Roman" w:hAnsi="Times New Roman" w:cs="Times New Roman"/>
          <w:sz w:val="28"/>
          <w:szCs w:val="28"/>
          <w:lang w:val="uk-UA"/>
        </w:rPr>
        <w:t xml:space="preserve">док, відповідно до якого здійснення певних пошукових заходів («заклич», «звід», «гоніння сліду») покладалося на потерпілого, який за допомогою них мав </w:t>
      </w:r>
      <w:r w:rsidR="00611EEF" w:rsidRPr="00AA4DF3">
        <w:rPr>
          <w:rFonts w:ascii="Times New Roman" w:hAnsi="Times New Roman" w:cs="Times New Roman"/>
          <w:sz w:val="28"/>
          <w:szCs w:val="28"/>
          <w:lang w:val="uk-UA"/>
        </w:rPr>
        <w:t>обґрунтувати</w:t>
      </w:r>
      <w:r w:rsidRPr="00AA4DF3">
        <w:rPr>
          <w:rFonts w:ascii="Times New Roman" w:hAnsi="Times New Roman" w:cs="Times New Roman"/>
          <w:sz w:val="28"/>
          <w:szCs w:val="28"/>
          <w:lang w:val="uk-UA"/>
        </w:rPr>
        <w:t xml:space="preserve"> свій позов</w:t>
      </w:r>
      <w:r w:rsidR="00611EEF">
        <w:rPr>
          <w:rFonts w:ascii="Times New Roman" w:hAnsi="Times New Roman" w:cs="Times New Roman"/>
          <w:sz w:val="28"/>
          <w:szCs w:val="28"/>
          <w:lang w:val="uk-UA"/>
        </w:rPr>
        <w:t xml:space="preserve"> [25</w:t>
      </w:r>
      <w:r w:rsidRPr="00AA4DF3">
        <w:rPr>
          <w:rFonts w:ascii="Times New Roman" w:hAnsi="Times New Roman" w:cs="Times New Roman"/>
          <w:sz w:val="28"/>
          <w:szCs w:val="28"/>
          <w:lang w:val="uk-UA"/>
        </w:rPr>
        <w:t>, с. 9-10]. О</w:t>
      </w:r>
      <w:r>
        <w:rPr>
          <w:rFonts w:ascii="Times New Roman" w:hAnsi="Times New Roman" w:cs="Times New Roman"/>
          <w:sz w:val="28"/>
          <w:szCs w:val="28"/>
          <w:lang w:val="uk-UA"/>
        </w:rPr>
        <w:t>днак проведення досудових проце</w:t>
      </w:r>
      <w:r w:rsidRPr="00AA4DF3">
        <w:rPr>
          <w:rFonts w:ascii="Times New Roman" w:hAnsi="Times New Roman" w:cs="Times New Roman"/>
          <w:sz w:val="28"/>
          <w:szCs w:val="28"/>
          <w:lang w:val="uk-UA"/>
        </w:rPr>
        <w:t>дур не розглядалося за Руською Правдою як обов’язковий етап (стадія) кримінального переслідування. Більше того,</w:t>
      </w:r>
    </w:p>
    <w:p w14:paraId="5157A2AD" w14:textId="682425F0" w:rsidR="00AA4DF3" w:rsidRPr="00AA4DF3" w:rsidRDefault="00AA4DF3" w:rsidP="00280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AA4DF3">
        <w:rPr>
          <w:rFonts w:ascii="Times New Roman" w:hAnsi="Times New Roman" w:cs="Times New Roman"/>
          <w:sz w:val="28"/>
          <w:szCs w:val="28"/>
          <w:lang w:val="uk-UA"/>
        </w:rPr>
        <w:t xml:space="preserve">М.О. </w:t>
      </w:r>
      <w:proofErr w:type="spellStart"/>
      <w:r w:rsidRPr="00AA4DF3">
        <w:rPr>
          <w:rFonts w:ascii="Times New Roman" w:hAnsi="Times New Roman" w:cs="Times New Roman"/>
          <w:sz w:val="28"/>
          <w:szCs w:val="28"/>
          <w:lang w:val="uk-UA"/>
        </w:rPr>
        <w:t>Чельцов</w:t>
      </w:r>
      <w:proofErr w:type="spellEnd"/>
      <w:r w:rsidRPr="00AA4D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08DE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E84F16"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Pr="00AA4DF3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2A08B358" w14:textId="312D4CB9" w:rsidR="00AA4DF3" w:rsidRPr="00AA4DF3" w:rsidRDefault="00AA4DF3" w:rsidP="00AA4D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DF3">
        <w:rPr>
          <w:rFonts w:ascii="Times New Roman" w:hAnsi="Times New Roman" w:cs="Times New Roman"/>
          <w:sz w:val="28"/>
          <w:szCs w:val="28"/>
          <w:lang w:val="uk-UA" w:bidi="uk-UA"/>
        </w:rPr>
        <w:t xml:space="preserve">Загалом у КПК УРСР I960 р. питанням підслідності було присвячено кілька статей. Так, у ст. 112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2AD51169" w14:textId="77777777" w:rsidR="00AA4DF3" w:rsidRDefault="00AA4DF3" w:rsidP="007364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9A5D6" w14:textId="77777777" w:rsidR="00860F56" w:rsidRDefault="00736460" w:rsidP="007364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="004802A4" w:rsidRPr="004802A4">
        <w:rPr>
          <w:rFonts w:ascii="Times New Roman" w:hAnsi="Times New Roman" w:cs="Times New Roman"/>
          <w:b/>
          <w:sz w:val="28"/>
          <w:szCs w:val="28"/>
          <w:lang w:val="uk-UA"/>
        </w:rPr>
        <w:t>Поняття «підслідність» у кримінальному провадженні</w:t>
      </w:r>
    </w:p>
    <w:p w14:paraId="4C2BE187" w14:textId="77777777" w:rsidR="00860F56" w:rsidRPr="00860F56" w:rsidRDefault="00860F56" w:rsidP="00860F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Кримінальний процесуальни</w:t>
      </w:r>
      <w:r w:rsidR="00736460">
        <w:rPr>
          <w:rFonts w:ascii="Times New Roman" w:hAnsi="Times New Roman" w:cs="Times New Roman"/>
          <w:sz w:val="28"/>
          <w:szCs w:val="28"/>
          <w:lang w:val="uk-UA" w:bidi="uk-UA"/>
        </w:rPr>
        <w:t xml:space="preserve">й кодекс України 2012 р. (далі </w:t>
      </w:r>
      <w:r w:rsidR="00736460" w:rsidRPr="00736460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t xml:space="preserve"> КПК України) є побудованим на ідеології верховенства права, безумовного пріорите</w:t>
      </w: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ту таких непорушних загальнолюдських цінностей, як незалежність, неупередженість суду, презумпція невинуватості, змагальність і рівноправність сторін, а також на пропорційності застосування заходів забезпечення кримінального провадження.</w:t>
      </w:r>
    </w:p>
    <w:p w14:paraId="0740C3E3" w14:textId="64FD9B52" w:rsidR="00860F56" w:rsidRPr="00860F56" w:rsidRDefault="00860F56" w:rsidP="00280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t xml:space="preserve">Сьогодні в умовах подальшої демократизації суспільства суттєво підвищується роль законності в діяльності органів досудового розслідування. На них серед іншого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попереднього розслідування відпо</w:t>
      </w: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відно до правил кримінального судочинства </w:t>
      </w:r>
      <w:r w:rsidR="00611EEF">
        <w:rPr>
          <w:rFonts w:ascii="Times New Roman" w:hAnsi="Times New Roman" w:cs="Times New Roman"/>
          <w:sz w:val="28"/>
          <w:szCs w:val="28"/>
          <w:lang w:val="uk-UA" w:bidi="uk-UA"/>
        </w:rPr>
        <w:t>[5</w:t>
      </w:r>
      <w:r w:rsidRPr="00860F56">
        <w:rPr>
          <w:rFonts w:ascii="Times New Roman" w:hAnsi="Times New Roman" w:cs="Times New Roman"/>
          <w:sz w:val="28"/>
          <w:szCs w:val="28"/>
          <w:lang w:val="uk-UA" w:bidi="uk-UA"/>
        </w:rPr>
        <w:t>, с. 5].</w:t>
      </w:r>
    </w:p>
    <w:p w14:paraId="433E500B" w14:textId="1C25BBD5" w:rsidR="00C20A32" w:rsidRDefault="00736460" w:rsidP="002808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Отже, а</w:t>
      </w:r>
      <w:r w:rsidR="00860F56" w:rsidRPr="00860F56">
        <w:rPr>
          <w:rFonts w:ascii="Times New Roman" w:hAnsi="Times New Roman" w:cs="Times New Roman"/>
          <w:sz w:val="28"/>
          <w:szCs w:val="28"/>
          <w:lang w:val="uk-UA" w:bidi="uk-UA"/>
        </w:rPr>
        <w:t xml:space="preserve">наліз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48917F93" w14:textId="77777777" w:rsidR="00C20A32" w:rsidRDefault="00C20A32" w:rsidP="00C20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0D8127B" w14:textId="77777777" w:rsidR="00C20A32" w:rsidRDefault="00C20A32" w:rsidP="00C20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C49B79F" w14:textId="77777777" w:rsidR="00C20A32" w:rsidRDefault="00C20A32" w:rsidP="00C20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3163EC8" w14:textId="77777777" w:rsidR="00C20A32" w:rsidRDefault="00C20A32" w:rsidP="00C20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7734756" w14:textId="77777777" w:rsidR="00C20A32" w:rsidRDefault="00C20A32" w:rsidP="00C20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C848F6D" w14:textId="77777777" w:rsidR="00C20A32" w:rsidRDefault="00C20A32" w:rsidP="00C20A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47F12A0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9FA6FA6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799FFF5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9FD2CE0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0AF632B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37C41A3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0EEDBF7" w14:textId="77777777" w:rsidR="002E5321" w:rsidRDefault="002E5321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6794CBA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668145AC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85AC9FB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E034447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7E5F2411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22F79CEF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04C40F0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5863EEEF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РОЗДІЛ ІІ</w:t>
      </w:r>
    </w:p>
    <w:p w14:paraId="0CD22610" w14:textId="77777777" w:rsidR="00736460" w:rsidRDefault="00736460" w:rsidP="00B76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ОСОБЛИВОСТІ ВИДІВ ТА ВСТАНОВЛЕННЯ ПІДСЛІДНОСТІ У КРИМІНАЛЬНОМУ ПРОВАДЖЕННІ</w:t>
      </w:r>
    </w:p>
    <w:p w14:paraId="750AE21E" w14:textId="77777777" w:rsidR="00C20A32" w:rsidRDefault="00736460" w:rsidP="0073646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2.1.</w:t>
      </w:r>
      <w:r w:rsidR="00B769F6">
        <w:rPr>
          <w:rFonts w:ascii="Times New Roman" w:hAnsi="Times New Roman" w:cs="Times New Roman"/>
          <w:b/>
          <w:sz w:val="28"/>
          <w:szCs w:val="28"/>
          <w:lang w:val="uk-UA" w:bidi="uk-UA"/>
        </w:rPr>
        <w:t>Види підслідності у кримінальному провадженні</w:t>
      </w:r>
    </w:p>
    <w:p w14:paraId="3D917C7B" w14:textId="77777777" w:rsidR="00C20A32" w:rsidRDefault="00B769F6" w:rsidP="00B769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t>Роз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гляд питання диференціації правил розподілу кри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мінальних проваджень між органами досудового розслідування зобов’язує передусім звернути увагу на доктринальну дискусію, що точиться навколо питання: в межах ознак кримінального прова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дження чи видів підслідності здійснюється розмеж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ування предмета відання відповідних процесуаль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них суб’єктів. У свою чергу, відповідь на вказане питання дає можливість говорити про підслідність як про (а) монолітне явище, варіації якого виникають залежно від специфіки (ознак) кримінального прова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дження, або (б) збірне поняття, яке охоплює кілька різновидів підслідності.</w:t>
      </w:r>
    </w:p>
    <w:p w14:paraId="11613D99" w14:textId="77777777" w:rsidR="00B769F6" w:rsidRDefault="00B769F6" w:rsidP="00B769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t>Базову тезу прибічників розподілу підслідності на ознаки як вихідні одиниці такої диференціації висловив свого часу Л.Н. Гусєв, зазначаючи, що якщо правила визначення підслідності й підсудності кри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мінальної справи залежно від її окремих ознак імену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вати видами підслідності, то створюється помилкове уявлення про те, що кримінальна справа має «</w:t>
      </w:r>
      <w:r w:rsidR="003A7AF5">
        <w:rPr>
          <w:rFonts w:ascii="Times New Roman" w:hAnsi="Times New Roman" w:cs="Times New Roman"/>
          <w:sz w:val="28"/>
          <w:szCs w:val="28"/>
          <w:lang w:val="uk-UA" w:bidi="uk-UA"/>
        </w:rPr>
        <w:t xml:space="preserve">кілька </w:t>
      </w:r>
      <w:proofErr w:type="spellStart"/>
      <w:r w:rsidR="003A7AF5">
        <w:rPr>
          <w:rFonts w:ascii="Times New Roman" w:hAnsi="Times New Roman" w:cs="Times New Roman"/>
          <w:sz w:val="28"/>
          <w:szCs w:val="28"/>
          <w:lang w:val="uk-UA" w:bidi="uk-UA"/>
        </w:rPr>
        <w:t>підслідностей</w:t>
      </w:r>
      <w:proofErr w:type="spellEnd"/>
      <w:r w:rsidR="003A7AF5">
        <w:rPr>
          <w:rFonts w:ascii="Times New Roman" w:hAnsi="Times New Roman" w:cs="Times New Roman"/>
          <w:sz w:val="28"/>
          <w:szCs w:val="28"/>
          <w:lang w:val="uk-UA" w:bidi="uk-UA"/>
        </w:rPr>
        <w:t>»</w:t>
      </w:r>
      <w:r w:rsidRPr="00B769F6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5D61A3B0" w14:textId="45055116" w:rsidR="00985200" w:rsidRDefault="00736460" w:rsidP="00280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З.З.</w:t>
      </w:r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proofErr w:type="spellStart"/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>Зінаїуллін</w:t>
      </w:r>
      <w:proofErr w:type="spellEnd"/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 xml:space="preserve">, М.С. </w:t>
      </w:r>
      <w:proofErr w:type="spellStart"/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>Салахов</w:t>
      </w:r>
      <w:proofErr w:type="spellEnd"/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 xml:space="preserve">, Л.Д. </w:t>
      </w:r>
      <w:proofErr w:type="spellStart"/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>Чу</w:t>
      </w:r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люкін</w:t>
      </w:r>
      <w:proofErr w:type="spellEnd"/>
      <w:r w:rsidR="00B769F6" w:rsidRPr="00B769F6">
        <w:rPr>
          <w:rFonts w:ascii="Times New Roman" w:hAnsi="Times New Roman" w:cs="Times New Roman"/>
          <w:sz w:val="28"/>
          <w:szCs w:val="28"/>
          <w:lang w:val="uk-UA" w:bidi="uk-UA"/>
        </w:rPr>
        <w:t xml:space="preserve">, доводячи свою точку зору, вказують на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="00985200" w:rsidRPr="00985200">
        <w:rPr>
          <w:rFonts w:ascii="Times New Roman" w:hAnsi="Times New Roman" w:cs="Times New Roman"/>
          <w:sz w:val="28"/>
          <w:szCs w:val="28"/>
          <w:lang w:val="uk-UA" w:bidi="uk-UA"/>
        </w:rPr>
        <w:t>, 3) підслідність за зв’язком справ, 4) альтернативну, 5) універсальну, 6) територіальну підслідність.</w:t>
      </w:r>
    </w:p>
    <w:p w14:paraId="05D17A12" w14:textId="3695AA19" w:rsidR="002D41AC" w:rsidRPr="002D41AC" w:rsidRDefault="002D41AC" w:rsidP="002D4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2D41AC">
        <w:rPr>
          <w:rFonts w:ascii="Times New Roman" w:hAnsi="Times New Roman" w:cs="Times New Roman"/>
          <w:sz w:val="28"/>
          <w:szCs w:val="28"/>
          <w:lang w:val="uk-UA" w:bidi="uk-UA"/>
        </w:rPr>
        <w:t xml:space="preserve">Отже,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</w:p>
    <w:p w14:paraId="5044C3ED" w14:textId="77777777" w:rsidR="00985200" w:rsidRPr="00985200" w:rsidRDefault="00985200" w:rsidP="009852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791D4E8F" w14:textId="77777777" w:rsidR="00C20A32" w:rsidRPr="00C20A32" w:rsidRDefault="00CB1C56" w:rsidP="00CB1C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>2.2.</w:t>
      </w:r>
      <w:r w:rsidR="00C20A32" w:rsidRPr="00C20A32">
        <w:rPr>
          <w:rFonts w:ascii="Times New Roman" w:hAnsi="Times New Roman" w:cs="Times New Roman"/>
          <w:b/>
          <w:sz w:val="28"/>
          <w:szCs w:val="28"/>
          <w:lang w:val="uk-UA" w:bidi="uk-UA"/>
        </w:rPr>
        <w:t>Встановлення підслідності у кримінальному провадженні України</w:t>
      </w:r>
    </w:p>
    <w:p w14:paraId="745BC0A1" w14:textId="77777777" w:rsidR="00C20A32" w:rsidRPr="00C20A32" w:rsidRDefault="00C20A32" w:rsidP="00C20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>Один із тих, хто намагався безпосередньо з’ясувати правила встановлення підслідності у вітчизняному кри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мінальному провадженні (ст. 216 КПК України), зокре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ма визначення органу досудового розслідування, 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слідчі якого уповноважені розслідувати відповідний злочин, був Ю.І. </w:t>
      </w:r>
      <w:proofErr w:type="spellStart"/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>Кицан</w:t>
      </w:r>
      <w:proofErr w:type="spellEnd"/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>. Так, цей науково-практичний діяч із по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силанням на погляди одного з реформаторів криміналь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ного судочинства України початку 2010 р. відзначив таке: «У період дії КПК України 1960 року в державі залиша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лося незрозумілим, який орган розслідує. Як правило, хто перший порушив кримінальну справу, той і розслідує. І підприємець ходить і розповідає одне й те саме</w:t>
      </w:r>
      <w:r w:rsidR="00CB1C56">
        <w:rPr>
          <w:rFonts w:ascii="Times New Roman" w:hAnsi="Times New Roman" w:cs="Times New Roman"/>
          <w:sz w:val="28"/>
          <w:szCs w:val="28"/>
          <w:lang w:val="uk-UA" w:bidi="uk-UA"/>
        </w:rPr>
        <w:t xml:space="preserve"> спочатку в податковій, потім </w:t>
      </w:r>
      <w:r w:rsidR="00CB1C56" w:rsidRPr="00CB1C56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="00CB1C56">
        <w:rPr>
          <w:rFonts w:ascii="Times New Roman" w:hAnsi="Times New Roman" w:cs="Times New Roman"/>
          <w:sz w:val="28"/>
          <w:szCs w:val="28"/>
          <w:lang w:val="uk-UA" w:bidi="uk-UA"/>
        </w:rPr>
        <w:t xml:space="preserve"> у міліції, далі </w:t>
      </w:r>
      <w:r w:rsidR="00CB1C56" w:rsidRPr="00CB1C56">
        <w:rPr>
          <w:rFonts w:ascii="Times New Roman" w:hAnsi="Times New Roman" w:cs="Times New Roman"/>
          <w:sz w:val="28"/>
          <w:szCs w:val="28"/>
          <w:lang w:val="uk-UA" w:bidi="uk-UA"/>
        </w:rPr>
        <w:t>–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 xml:space="preserve"> в СБУ і нарешті в прокуратурі. Більше такого не буде. Кожен орган матиме чітко визначений перелік складів злочинів і нестиме пер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сональну відповідальність за їх розкриття»</w:t>
      </w:r>
      <w:r w:rsidR="003A7AF5">
        <w:rPr>
          <w:rFonts w:ascii="Times New Roman" w:hAnsi="Times New Roman" w:cs="Times New Roman"/>
          <w:sz w:val="28"/>
          <w:szCs w:val="28"/>
          <w:lang w:val="uk-UA" w:bidi="uk-UA"/>
        </w:rPr>
        <w:t xml:space="preserve"> [16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>].</w:t>
      </w:r>
    </w:p>
    <w:p w14:paraId="7EF9C3EA" w14:textId="77777777" w:rsidR="00C20A32" w:rsidRPr="00C20A32" w:rsidRDefault="00C20A32" w:rsidP="00C20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>І хоча згідно з цією позицією можна лише зрозуміти, чому у вітчизняному кримінальному процесі повністю відмовилися від альтернативної підслідності та впровади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ли персональну підслідність. Продовжує залишатися неві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домим, чому розслідування того чи іншого складу злочи</w:t>
      </w: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ну закріплено за слідчим відповідного органу досудового розслідування (слідчими поліції, НАБУ, ДБР, СБУ тощо).</w:t>
      </w:r>
    </w:p>
    <w:p w14:paraId="0F0508DF" w14:textId="6263AA23" w:rsidR="00BA265C" w:rsidRDefault="00C20A32" w:rsidP="00280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20A32">
        <w:rPr>
          <w:rFonts w:ascii="Times New Roman" w:hAnsi="Times New Roman" w:cs="Times New Roman"/>
          <w:sz w:val="28"/>
          <w:szCs w:val="28"/>
          <w:lang w:val="uk-UA" w:bidi="uk-UA"/>
        </w:rPr>
        <w:t xml:space="preserve">Залишає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="001B7D92" w:rsidRPr="001B7D92">
        <w:rPr>
          <w:rFonts w:ascii="Times New Roman" w:hAnsi="Times New Roman" w:cs="Times New Roman"/>
          <w:sz w:val="28"/>
          <w:szCs w:val="28"/>
          <w:lang w:val="uk-UA" w:bidi="uk-UA"/>
        </w:rPr>
        <w:t xml:space="preserve"> Кримінального кодексу України, скоєні особою, щодо якої здійснюється досудове розслідування, вони мають розслідуватися слідчими (або детективами) органів </w:t>
      </w:r>
      <w:proofErr w:type="spellStart"/>
      <w:r w:rsidR="001B7D92" w:rsidRPr="001B7D92">
        <w:rPr>
          <w:rFonts w:ascii="Times New Roman" w:hAnsi="Times New Roman" w:cs="Times New Roman"/>
          <w:sz w:val="28"/>
          <w:szCs w:val="28"/>
          <w:lang w:val="uk-UA" w:bidi="uk-UA"/>
        </w:rPr>
        <w:t>Держприкордонслужби</w:t>
      </w:r>
      <w:proofErr w:type="spellEnd"/>
      <w:r w:rsidR="001B7D92" w:rsidRPr="001B7D92">
        <w:rPr>
          <w:rFonts w:ascii="Times New Roman" w:hAnsi="Times New Roman" w:cs="Times New Roman"/>
          <w:sz w:val="28"/>
          <w:szCs w:val="28"/>
          <w:lang w:val="uk-UA" w:bidi="uk-UA"/>
        </w:rPr>
        <w:t xml:space="preserve"> України».</w:t>
      </w:r>
    </w:p>
    <w:p w14:paraId="4D8BB6F1" w14:textId="2C22A5F0" w:rsidR="001B7D92" w:rsidRDefault="001B7D92" w:rsidP="00C20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346D6">
        <w:rPr>
          <w:rFonts w:ascii="Times New Roman" w:hAnsi="Times New Roman" w:cs="Times New Roman"/>
          <w:sz w:val="28"/>
          <w:szCs w:val="28"/>
          <w:lang w:val="uk-UA" w:bidi="uk-UA"/>
        </w:rPr>
        <w:t>Що ж до інших позицій, то такі відомі процесуаліс</w:t>
      </w:r>
      <w:r w:rsidRPr="00D346D6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ти, як Ю.М. Грошевий, О.В. </w:t>
      </w:r>
      <w:proofErr w:type="spellStart"/>
      <w:r w:rsidRPr="00D346D6">
        <w:rPr>
          <w:rFonts w:ascii="Times New Roman" w:hAnsi="Times New Roman" w:cs="Times New Roman"/>
          <w:sz w:val="28"/>
          <w:szCs w:val="28"/>
          <w:lang w:val="uk-UA" w:bidi="uk-UA"/>
        </w:rPr>
        <w:t>Капліна</w:t>
      </w:r>
      <w:proofErr w:type="spellEnd"/>
      <w:r w:rsidRPr="00D346D6">
        <w:rPr>
          <w:rFonts w:ascii="Times New Roman" w:hAnsi="Times New Roman" w:cs="Times New Roman"/>
          <w:sz w:val="28"/>
          <w:szCs w:val="28"/>
          <w:lang w:val="uk-UA" w:bidi="uk-UA"/>
        </w:rPr>
        <w:t>, О.Г. Шило [14, с. 32-33], наводять аргументацію, згідно з якою можна ді</w:t>
      </w:r>
      <w:r w:rsidRPr="00D346D6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йти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03F62A86" w14:textId="77777777" w:rsidR="00A278B2" w:rsidRDefault="00A278B2" w:rsidP="00C20A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15CA0A88" w14:textId="77777777" w:rsidR="00A278B2" w:rsidRDefault="00A278B2" w:rsidP="00BA2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0302D18F" w14:textId="77777777" w:rsidR="00A278B2" w:rsidRDefault="00A278B2" w:rsidP="00BA265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A278B2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</w:p>
    <w:p w14:paraId="1E2E1FBC" w14:textId="77777777" w:rsidR="00BA265C" w:rsidRPr="00BA265C" w:rsidRDefault="00BA265C" w:rsidP="00BA26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A265C">
        <w:rPr>
          <w:rFonts w:ascii="Times New Roman" w:hAnsi="Times New Roman" w:cs="Times New Roman"/>
          <w:sz w:val="28"/>
          <w:szCs w:val="28"/>
          <w:lang w:val="uk-UA" w:bidi="uk-UA"/>
        </w:rPr>
        <w:t>Таким чином, у процесі написання роботи, ми зробили такі висновки:</w:t>
      </w:r>
    </w:p>
    <w:p w14:paraId="2A67915A" w14:textId="07D3CE6F" w:rsidR="00BA265C" w:rsidRDefault="00A278B2" w:rsidP="002808D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1. </w:t>
      </w:r>
      <w:r w:rsidRPr="00A278B2">
        <w:rPr>
          <w:rFonts w:ascii="Times New Roman" w:hAnsi="Times New Roman" w:cs="Times New Roman"/>
          <w:sz w:val="28"/>
          <w:szCs w:val="28"/>
          <w:lang w:val="uk-UA" w:bidi="uk-UA"/>
        </w:rPr>
        <w:t xml:space="preserve">Огляд історичного розвитку кримінального процесуального інституту підслідності в законодавстві різних державних утворень на теренах сучасної України надає можливість виділити низку етапів, які відображають </w:t>
      </w:r>
      <w:r w:rsidRPr="00A278B2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зародження, розвиток і остаточне оформлення за</w:t>
      </w:r>
      <w:r w:rsidRPr="00A278B2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значеного процесуального інституту:</w:t>
      </w:r>
      <w:r w:rsidRPr="00A278B2">
        <w:rPr>
          <w:rFonts w:ascii="Times New Roman" w:hAnsi="Times New Roman" w:cs="Times New Roman"/>
          <w:sz w:val="28"/>
          <w:szCs w:val="28"/>
          <w:lang w:val="uk-UA" w:bidi="uk-UA"/>
        </w:rPr>
        <w:tab/>
        <w:t xml:space="preserve">1) </w:t>
      </w:r>
      <w:r w:rsidR="002808DE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bookmarkStart w:id="0" w:name="_GoBack"/>
      <w:bookmarkEnd w:id="0"/>
    </w:p>
    <w:p w14:paraId="623FE87C" w14:textId="77777777" w:rsidR="00BA265C" w:rsidRDefault="00BA265C" w:rsidP="00715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48C6BF21" w14:textId="77777777" w:rsidR="00BA265C" w:rsidRDefault="00BA265C" w:rsidP="00715A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0B9F25EA" w14:textId="77777777" w:rsidR="00715AEF" w:rsidRPr="00715AEF" w:rsidRDefault="00715AEF" w:rsidP="00BA265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715AEF">
        <w:rPr>
          <w:rFonts w:ascii="Times New Roman" w:hAnsi="Times New Roman" w:cs="Times New Roman"/>
          <w:b/>
          <w:sz w:val="28"/>
          <w:szCs w:val="28"/>
          <w:lang w:val="uk-UA" w:bidi="uk-UA"/>
        </w:rPr>
        <w:t>СПИСОК ВИКОРИСТАНИХ ДЖЕРЕЛ</w:t>
      </w:r>
    </w:p>
    <w:p w14:paraId="737E3C13" w14:textId="77777777" w:rsidR="00D467EF" w:rsidRPr="00D467EF" w:rsidRDefault="00BA265C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1.</w:t>
      </w:r>
      <w:r w:rsidR="00D467EF" w:rsidRPr="00D467EF">
        <w:rPr>
          <w:rFonts w:ascii="Times New Roman" w:hAnsi="Times New Roman" w:cs="Times New Roman"/>
          <w:sz w:val="28"/>
          <w:szCs w:val="28"/>
          <w:lang w:val="uk-UA" w:bidi="uk-UA"/>
        </w:rPr>
        <w:t>Конституція України: прийнята на п’ятій сесії Верховної Ради України 28 червня 1996 р. Відомості Верховної Ради України. 1996. № 30. Ст.141.</w:t>
      </w:r>
    </w:p>
    <w:p w14:paraId="4CD39C56" w14:textId="77777777" w:rsidR="00D467EF" w:rsidRP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 w:rsidRPr="00D467EF">
        <w:rPr>
          <w:rFonts w:ascii="Times New Roman" w:hAnsi="Times New Roman" w:cs="Times New Roman"/>
          <w:sz w:val="28"/>
          <w:szCs w:val="28"/>
          <w:lang w:val="uk-UA" w:bidi="ru-RU"/>
        </w:rPr>
        <w:t>2.Кримінальний процесуальний кодекс України: Закон України від 13 квітня 2012 року №4651-УІ. Відомості Верховної Ради України. 2013. № 9-10, 11-12, 13.  Ст. 8.</w:t>
      </w:r>
    </w:p>
    <w:p w14:paraId="6D217DC2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3.</w:t>
      </w:r>
      <w:r w:rsidR="00E92FDD" w:rsidRPr="00E92FDD">
        <w:rPr>
          <w:rFonts w:ascii="Times New Roman" w:hAnsi="Times New Roman" w:cs="Times New Roman"/>
          <w:sz w:val="28"/>
          <w:szCs w:val="28"/>
          <w:lang w:bidi="ru-RU"/>
        </w:rPr>
        <w:t xml:space="preserve">Александров А.С. </w:t>
      </w:r>
      <w:r>
        <w:rPr>
          <w:rFonts w:ascii="Times New Roman" w:hAnsi="Times New Roman" w:cs="Times New Roman"/>
          <w:sz w:val="28"/>
          <w:szCs w:val="28"/>
          <w:lang w:bidi="ru-RU"/>
        </w:rPr>
        <w:t>Подследственность уголовных дел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юстиция. 2003. </w:t>
      </w:r>
      <w:r w:rsidR="00E92FDD" w:rsidRPr="00E92FDD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bidi="ru-RU"/>
        </w:rPr>
        <w:t>10.</w:t>
      </w:r>
      <w:r w:rsidR="00E92FDD" w:rsidRPr="00E92FDD">
        <w:rPr>
          <w:rFonts w:ascii="Times New Roman" w:hAnsi="Times New Roman" w:cs="Times New Roman"/>
          <w:sz w:val="28"/>
          <w:szCs w:val="28"/>
          <w:lang w:bidi="ru-RU"/>
        </w:rPr>
        <w:t>С. 34-36.</w:t>
      </w:r>
    </w:p>
    <w:p w14:paraId="38E2789C" w14:textId="77777777" w:rsid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4.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>Актуальні питання кримінального про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цесу України: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посібник. 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 xml:space="preserve">За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>заг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 xml:space="preserve">. ред. Є.М.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>Блажівського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>. Київ: «Центр учбової літерату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>ри», 2013. 304 с.</w:t>
      </w:r>
    </w:p>
    <w:p w14:paraId="6339B955" w14:textId="77777777" w:rsidR="00E92FDD" w:rsidRP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5.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Башинская И.Г.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Проблемы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правовой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регламентации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института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подследственности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в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российском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уголовном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су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softHyphen/>
        <w:t>допроизводс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>. наук: спец. 12.00.09. Крас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softHyphen/>
        <w:t>нодар: [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б.в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.], 2007.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249 с.</w:t>
      </w:r>
    </w:p>
    <w:p w14:paraId="3887E8B7" w14:textId="77777777" w:rsidR="001D66B6" w:rsidRPr="001D66B6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6.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Банчук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 xml:space="preserve">О.А., Дмитрієва І.О.,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Саідова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 xml:space="preserve"> З.М., Хавронюк М.І. Реалізація нового КПК України у 2013 році (моніторинговий звіт). 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 xml:space="preserve">К.: </w:t>
      </w:r>
      <w:r w:rsidR="001D66B6" w:rsidRPr="00D467EF">
        <w:rPr>
          <w:rFonts w:ascii="Times New Roman" w:hAnsi="Times New Roman" w:cs="Times New Roman"/>
          <w:sz w:val="28"/>
          <w:szCs w:val="28"/>
          <w:lang w:val="uk-UA" w:bidi="uk-UA"/>
        </w:rPr>
        <w:t>ФОП Москаленко О.М., 2013. 40 с</w:t>
      </w:r>
    </w:p>
    <w:p w14:paraId="50F79177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7.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Задорожній О.В. Генеза міжнар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одної правосуб’єктності України: [монографія]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; Укр.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асоц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міжнар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. права, Ін-т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міжнар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. відносин Київ. нац. ун-ту ім. Тараса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Шев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ченка, каф.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міжнар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права.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К.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: К.І.С., 2014.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 687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44946C07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8.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Землянська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В.В.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Кримінально-процесуальне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законо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softHyphen/>
        <w:t>давство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Центральної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Ради,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гетьманату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Скоропадського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та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Директорії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автореф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дис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. ... к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анд.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 наук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: спец. 12.00.</w:t>
      </w:r>
      <w:r>
        <w:rPr>
          <w:rFonts w:ascii="Times New Roman" w:hAnsi="Times New Roman" w:cs="Times New Roman"/>
          <w:sz w:val="28"/>
          <w:szCs w:val="28"/>
          <w:lang w:bidi="uk-UA"/>
        </w:rPr>
        <w:t>0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; Нац.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юрид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. акад.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 Ярослава Му</w:t>
      </w:r>
      <w:r>
        <w:rPr>
          <w:rFonts w:ascii="Times New Roman" w:hAnsi="Times New Roman" w:cs="Times New Roman"/>
          <w:sz w:val="28"/>
          <w:szCs w:val="28"/>
          <w:lang w:bidi="uk-UA"/>
        </w:rPr>
        <w:softHyphen/>
        <w:t xml:space="preserve">дрого.  X.: 2002.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20 с.</w:t>
      </w:r>
    </w:p>
    <w:p w14:paraId="0D0134AB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9.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Криміналі</w:t>
      </w:r>
      <w:r>
        <w:rPr>
          <w:rFonts w:ascii="Times New Roman" w:hAnsi="Times New Roman" w:cs="Times New Roman"/>
          <w:sz w:val="28"/>
          <w:szCs w:val="28"/>
          <w:lang w:bidi="uk-UA"/>
        </w:rPr>
        <w:t>стика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криміналістична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техніка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)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: [курс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лекцій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]  [П.Д.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Біленчук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, А.П. Гель, М.В.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Салтевський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, Г.С.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Семаков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].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К.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: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МАУП, </w:t>
      </w:r>
      <w:r>
        <w:rPr>
          <w:rFonts w:ascii="Times New Roman" w:hAnsi="Times New Roman" w:cs="Times New Roman"/>
          <w:sz w:val="28"/>
          <w:szCs w:val="28"/>
          <w:lang w:bidi="uk-UA"/>
        </w:rPr>
        <w:t>2001.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216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с.</w:t>
      </w:r>
    </w:p>
    <w:p w14:paraId="024E3BB9" w14:textId="77777777" w:rsid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10.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Кримінальний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: [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]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[Ю.М.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Грошевий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, В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.Я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Тацій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, А.Р.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Туманянц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>.]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; за ред. В.Я.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Тація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, Ю.М.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Грошевого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О.В.Капліної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, О.Г.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Шило. X.: Право, 2013.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824 с.</w:t>
      </w:r>
    </w:p>
    <w:p w14:paraId="0E55D325" w14:textId="77777777" w:rsidR="00F04065" w:rsidRPr="00F04065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11.</w:t>
      </w:r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>Кримінальний процесуальний кодекс Украї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ни. Науково-практичний коментар</w:t>
      </w:r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 xml:space="preserve">: у 2 т. / [О.М. Бандурка, Є.М.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>Блажів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, Є.П.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Бурдоль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 ін.];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ред. В.Л.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 X.: Право, 2012. Т. 1. 2012.</w:t>
      </w:r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 xml:space="preserve"> 768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D91E8FF" w14:textId="77777777" w:rsidR="00F04065" w:rsidRPr="00F04065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12.Кримінальний процес</w:t>
      </w:r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>: [підручн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ик].</w:t>
      </w:r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>заг</w:t>
      </w:r>
      <w:proofErr w:type="spellEnd"/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>. ред. Ю.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М. Грошевого та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Капліної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>. Х.,2010.</w:t>
      </w:r>
      <w:r w:rsidR="00F04065" w:rsidRPr="00F04065">
        <w:rPr>
          <w:rFonts w:ascii="Times New Roman" w:hAnsi="Times New Roman" w:cs="Times New Roman"/>
          <w:sz w:val="28"/>
          <w:szCs w:val="28"/>
          <w:lang w:val="uk-UA" w:bidi="uk-UA"/>
        </w:rPr>
        <w:t xml:space="preserve"> 608 с.</w:t>
      </w:r>
    </w:p>
    <w:p w14:paraId="31A42BBF" w14:textId="77777777" w:rsidR="001D66B6" w:rsidRPr="001D66B6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13.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римінальний процес: підручник. 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 ред. В.В. Коваленка, Л.Д.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Удалової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, Д.П. Письменного. К.: Центр учбової літератури, 2013. 544 с.</w:t>
      </w:r>
    </w:p>
    <w:p w14:paraId="022EFF34" w14:textId="77777777" w:rsid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14.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Кримінальний процесуальний кодекс України, наук.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uk-UA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коментар: у 2 ч. Ч. 1. 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 xml:space="preserve"> за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заг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 xml:space="preserve">. ред. В.Я.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Тація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>. Харків: Право, 2012. 768 с.</w:t>
      </w:r>
    </w:p>
    <w:p w14:paraId="600125EF" w14:textId="77777777" w:rsidR="00E92FDD" w:rsidRP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15.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>Кицан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 Ю.І.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Підслідність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uk-UA"/>
        </w:rPr>
        <w:t>кримінальних</w:t>
      </w:r>
      <w:proofErr w:type="spellEnd"/>
      <w:r>
        <w:rPr>
          <w:rFonts w:ascii="Times New Roman" w:hAnsi="Times New Roman" w:cs="Times New Roman"/>
          <w:sz w:val="28"/>
          <w:szCs w:val="28"/>
          <w:lang w:bidi="uk-UA"/>
        </w:rPr>
        <w:t xml:space="preserve"> справ</w:t>
      </w:r>
      <w:r w:rsidR="00E92FDD" w:rsidRPr="00E92FDD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bidi="ru-RU"/>
        </w:rPr>
        <w:t>авт</w:t>
      </w:r>
      <w:r>
        <w:rPr>
          <w:rFonts w:ascii="Times New Roman" w:hAnsi="Times New Roman" w:cs="Times New Roman"/>
          <w:sz w:val="28"/>
          <w:szCs w:val="28"/>
          <w:lang w:bidi="ru-RU"/>
        </w:rPr>
        <w:t>ореф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дне. ... канд.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 наук: спец. 12.00.09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К., 2012. </w:t>
      </w:r>
      <w:r w:rsidR="00E92FDD" w:rsidRPr="00E92FD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92FDD" w:rsidRPr="0048640A">
        <w:rPr>
          <w:rFonts w:ascii="Times New Roman" w:hAnsi="Times New Roman" w:cs="Times New Roman"/>
          <w:iCs/>
          <w:sz w:val="28"/>
          <w:szCs w:val="28"/>
          <w:lang w:bidi="ru-RU"/>
        </w:rPr>
        <w:t>26</w:t>
      </w:r>
      <w:r w:rsidR="00E92FDD" w:rsidRPr="0048640A">
        <w:rPr>
          <w:rFonts w:ascii="Times New Roman" w:hAnsi="Times New Roman" w:cs="Times New Roman"/>
          <w:sz w:val="28"/>
          <w:szCs w:val="28"/>
          <w:lang w:bidi="ru-RU"/>
        </w:rPr>
        <w:t xml:space="preserve"> с.</w:t>
      </w:r>
    </w:p>
    <w:p w14:paraId="27193CF0" w14:textId="77777777" w:rsidR="001D66B6" w:rsidRP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16.</w:t>
      </w:r>
      <w:r w:rsidR="001D66B6" w:rsidRPr="00D467EF">
        <w:rPr>
          <w:rFonts w:ascii="Times New Roman" w:hAnsi="Times New Roman" w:cs="Times New Roman"/>
          <w:sz w:val="28"/>
          <w:szCs w:val="28"/>
          <w:lang w:val="uk-UA" w:bidi="uk-UA"/>
        </w:rPr>
        <w:t xml:space="preserve">Кицак Ю.І. Актуальні питання вдосконалення підслідності кримінальних проваджень у контексті реформування органів досудового розслідування. Університетські наукові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записки. 2016. № 2. С. 206-212.</w:t>
      </w:r>
    </w:p>
    <w:p w14:paraId="0E437804" w14:textId="77777777" w:rsidR="00E92FDD" w:rsidRP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17.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Куфтирєв П.В. Витоки формування давньоруського доказового права за юридичними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першоджерелами східних слов’ян. 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Уні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верситетські наукові записки. 2011. № 4. 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92FDD" w:rsidRPr="00D467EF">
        <w:rPr>
          <w:rFonts w:ascii="Times New Roman" w:hAnsi="Times New Roman" w:cs="Times New Roman"/>
          <w:sz w:val="28"/>
          <w:szCs w:val="28"/>
          <w:lang w:val="uk-UA"/>
        </w:rPr>
        <w:t>21-37.</w:t>
      </w:r>
    </w:p>
    <w:p w14:paraId="4D5FE71A" w14:textId="77777777" w:rsidR="00E92FDD" w:rsidRPr="00D467EF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Лисакова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виникнен</w:t>
      </w:r>
      <w:r w:rsidR="00E92FDD" w:rsidRPr="00E92FDD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засідателів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землях у 1918-1921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права. 2012.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68.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 С. 166-172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1AC61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19.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Лобойко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К.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2014.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432 с.</w:t>
      </w:r>
    </w:p>
    <w:p w14:paraId="53AF0092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lastRenderedPageBreak/>
        <w:t>20.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Мишанина Н.В.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Органы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предварительного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следствия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в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уголовно-проце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ссуальном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механизме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государства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...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>. наук: спец. 12.00.09. СПб.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: [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б.в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.],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2003.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248 с.</w:t>
      </w:r>
    </w:p>
    <w:p w14:paraId="7BB5BA46" w14:textId="77777777" w:rsidR="001D66B6" w:rsidRPr="001D66B6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МолдованА.В., Мельник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С.М.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КримінальнийпроцесУкраїни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</w:t>
      </w:r>
      <w:r w:rsidR="001D66B6" w:rsidRPr="00D467EF">
        <w:rPr>
          <w:rFonts w:ascii="Times New Roman" w:hAnsi="Times New Roman" w:cs="Times New Roman"/>
          <w:sz w:val="28"/>
          <w:szCs w:val="28"/>
          <w:lang w:val="uk-UA"/>
        </w:rPr>
        <w:t>Київ: Центр учбовоїлітератури,2013. 368 с.</w:t>
      </w:r>
    </w:p>
    <w:p w14:paraId="05B81C73" w14:textId="77777777" w:rsidR="001D66B6" w:rsidRPr="00BA265C" w:rsidRDefault="00D467EF" w:rsidP="00BA26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ru-RU"/>
        </w:rPr>
        <w:t xml:space="preserve">Омаров </w:t>
      </w:r>
      <w:r w:rsidR="001D66B6" w:rsidRPr="00D467EF"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Інститут підслідності в кримінальному провадженні: історія виникнення й розвитку.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Jurnalul</w:t>
      </w:r>
      <w:proofErr w:type="spellEnd"/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teorie</w:t>
      </w:r>
      <w:proofErr w:type="spellEnd"/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practica</w:t>
      </w:r>
      <w:proofErr w:type="spellEnd"/>
      <w:r w:rsidR="001D66B6" w:rsidRPr="002808DE">
        <w:rPr>
          <w:rFonts w:ascii="Times New Roman" w:hAnsi="Times New Roman" w:cs="Times New Roman"/>
          <w:sz w:val="28"/>
          <w:szCs w:val="28"/>
          <w:lang w:val="uk-UA"/>
        </w:rPr>
        <w:t xml:space="preserve"> (Національний юридичний журнал: теорія і практика). </w:t>
      </w:r>
      <w:r w:rsidR="001D66B6" w:rsidRPr="001D66B6">
        <w:rPr>
          <w:rFonts w:ascii="Times New Roman" w:hAnsi="Times New Roman" w:cs="Times New Roman"/>
          <w:sz w:val="28"/>
          <w:szCs w:val="28"/>
        </w:rPr>
        <w:t>2016.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65C">
        <w:rPr>
          <w:rFonts w:ascii="Times New Roman" w:hAnsi="Times New Roman" w:cs="Times New Roman"/>
          <w:sz w:val="28"/>
          <w:szCs w:val="28"/>
        </w:rPr>
        <w:t>2.Т 1.С. 143-147.</w:t>
      </w:r>
    </w:p>
    <w:p w14:paraId="03281590" w14:textId="77777777" w:rsidR="001D66B6" w:rsidRPr="001D66B6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Османова Н.В.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подследственности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судебном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производстве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дисс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.... кан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Наук. М., 2013. </w:t>
      </w:r>
      <w:r w:rsidR="001D66B6" w:rsidRPr="001D66B6">
        <w:rPr>
          <w:rFonts w:ascii="Times New Roman" w:hAnsi="Times New Roman" w:cs="Times New Roman"/>
          <w:sz w:val="28"/>
          <w:szCs w:val="28"/>
          <w:lang w:val="uk-UA"/>
        </w:rPr>
        <w:t>23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CFE81D" w14:textId="77777777" w:rsidR="001D66B6" w:rsidRPr="001D66B6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Притула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слідство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прикордонної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на державному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кордоні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Південного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>. 2015. №4. С. 163-167</w:t>
      </w:r>
    </w:p>
    <w:p w14:paraId="4A088038" w14:textId="77777777" w:rsid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Погорецький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дія</w:t>
      </w:r>
      <w:r>
        <w:rPr>
          <w:rFonts w:ascii="Times New Roman" w:hAnsi="Times New Roman" w:cs="Times New Roman"/>
          <w:sz w:val="28"/>
          <w:szCs w:val="28"/>
        </w:rPr>
        <w:t>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X.: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ЛТД, 2007.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 576 с.</w:t>
      </w:r>
    </w:p>
    <w:p w14:paraId="432BD376" w14:textId="77777777" w:rsidR="001D66B6" w:rsidRPr="001D66B6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26.П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усканюк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прокурора в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реформуванням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кримінально-процесуаль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процесуаль</w:t>
      </w:r>
      <w:r w:rsidR="001D66B6" w:rsidRPr="001D66B6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ного законодавства України. Новели Кримінального процесуального кодексу України 2012 року. Збірник статей. К.: Істина, 2012. 128 с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14:paraId="035C3E06" w14:textId="77777777" w:rsidR="00F04065" w:rsidRPr="00F04065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F04065" w:rsidRPr="00F04065">
        <w:rPr>
          <w:rFonts w:ascii="Times New Roman" w:hAnsi="Times New Roman" w:cs="Times New Roman"/>
          <w:sz w:val="28"/>
          <w:szCs w:val="28"/>
          <w:lang w:val="uk-UA"/>
        </w:rPr>
        <w:t xml:space="preserve">Рыжаков А.П.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  <w:lang w:val="uk-UA"/>
        </w:rPr>
        <w:t>Уголовны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F04065" w:rsidRPr="00F04065">
        <w:rPr>
          <w:rFonts w:ascii="Times New Roman" w:hAnsi="Times New Roman" w:cs="Times New Roman"/>
          <w:sz w:val="28"/>
          <w:szCs w:val="28"/>
          <w:lang w:val="uk-UA"/>
        </w:rPr>
        <w:t xml:space="preserve">3-є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М.: НОРМА, 2004.</w:t>
      </w:r>
      <w:r w:rsidR="00F04065" w:rsidRPr="00F04065">
        <w:rPr>
          <w:rFonts w:ascii="Times New Roman" w:hAnsi="Times New Roman" w:cs="Times New Roman"/>
          <w:sz w:val="28"/>
          <w:szCs w:val="28"/>
          <w:lang w:val="uk-UA"/>
        </w:rPr>
        <w:t xml:space="preserve"> 704 с.</w:t>
      </w:r>
    </w:p>
    <w:p w14:paraId="04C40BBA" w14:textId="77777777" w:rsidR="00E92FDD" w:rsidRPr="00E92FDD" w:rsidRDefault="00D467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Страхов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Н. Право в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Украинских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землях 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пребы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softHyphen/>
        <w:t>вания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в составе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Польши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Литвы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и Речи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Посполитой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конец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XIV -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  <w:lang w:bidi="uk-UA"/>
        </w:rPr>
        <w:t xml:space="preserve">половина </w:t>
      </w:r>
      <w:r w:rsidR="00611EEF">
        <w:rPr>
          <w:rFonts w:ascii="Times New Roman" w:hAnsi="Times New Roman" w:cs="Times New Roman"/>
          <w:sz w:val="28"/>
          <w:szCs w:val="28"/>
          <w:lang w:val="uk-UA"/>
        </w:rPr>
        <w:t xml:space="preserve">XVII в.) Право </w:t>
      </w:r>
      <w:proofErr w:type="spellStart"/>
      <w:r w:rsidR="00611EEF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611EEF">
        <w:rPr>
          <w:rFonts w:ascii="Times New Roman" w:hAnsi="Times New Roman" w:cs="Times New Roman"/>
          <w:sz w:val="28"/>
          <w:szCs w:val="28"/>
          <w:lang w:val="uk-UA"/>
        </w:rPr>
        <w:t xml:space="preserve">. 2013. № 1. 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>С. 189-200.</w:t>
      </w:r>
    </w:p>
    <w:p w14:paraId="7002A41A" w14:textId="77777777" w:rsidR="00E92FDD" w:rsidRPr="00E92FDD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E92FDD" w:rsidRPr="00E92FDD">
        <w:rPr>
          <w:rFonts w:ascii="Times New Roman" w:hAnsi="Times New Roman" w:cs="Times New Roman"/>
          <w:sz w:val="28"/>
          <w:szCs w:val="28"/>
          <w:lang w:val="uk-UA"/>
        </w:rPr>
        <w:t xml:space="preserve">Сиза Н.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Суди і кримінальне судочин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ство України в добу Гетьманщини. К.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 xml:space="preserve">: Українська Видавнича Спілка, </w:t>
      </w:r>
      <w:r w:rsidR="00E92FDD" w:rsidRPr="00611EEF">
        <w:rPr>
          <w:rFonts w:ascii="Times New Roman" w:hAnsi="Times New Roman" w:cs="Times New Roman"/>
          <w:iCs/>
          <w:sz w:val="28"/>
          <w:szCs w:val="28"/>
          <w:lang w:val="uk-UA" w:bidi="uk-UA"/>
        </w:rPr>
        <w:t>2000</w:t>
      </w:r>
      <w:r w:rsidR="00E92FDD" w:rsidRPr="00E92FDD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uk-UA"/>
        </w:rPr>
        <w:t>120 с.</w:t>
      </w:r>
    </w:p>
    <w:p w14:paraId="305E68DD" w14:textId="77777777" w:rsidR="00E92FDD" w:rsidRPr="00E92FDD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30.</w:t>
      </w:r>
      <w:r w:rsidR="00E92FDD" w:rsidRPr="00611EEF">
        <w:rPr>
          <w:rFonts w:ascii="Times New Roman" w:hAnsi="Times New Roman" w:cs="Times New Roman"/>
          <w:sz w:val="28"/>
          <w:szCs w:val="28"/>
          <w:lang w:val="uk-UA"/>
        </w:rPr>
        <w:t>Сиза Н.П. Суди і кримінальне судочинство України в добу Гетьманщ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ини : дис. ...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</w:t>
      </w:r>
      <w:r w:rsidR="00E92FDD" w:rsidRPr="00611EEF">
        <w:rPr>
          <w:rFonts w:ascii="Times New Roman" w:hAnsi="Times New Roman" w:cs="Times New Roman"/>
          <w:sz w:val="28"/>
          <w:szCs w:val="28"/>
          <w:lang w:val="uk-UA"/>
        </w:rPr>
        <w:t>: спец. 12.00.09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націон</w:t>
      </w:r>
      <w:r>
        <w:rPr>
          <w:rFonts w:ascii="Times New Roman" w:hAnsi="Times New Roman" w:cs="Times New Roman"/>
          <w:sz w:val="28"/>
          <w:szCs w:val="28"/>
        </w:rPr>
        <w:t>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ун-т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>. Тараса Шевченка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; наук,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керів</w:t>
      </w:r>
      <w:r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М.М.Михеєнко,В.В.Молдован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К.: 2002.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 188 с.</w:t>
      </w:r>
    </w:p>
    <w:p w14:paraId="30E9C406" w14:textId="77777777" w:rsidR="00E92FDD" w:rsidRPr="00E92FDD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І.С.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підслідності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6B6" w:rsidRPr="001D66B6">
        <w:rPr>
          <w:rFonts w:ascii="Times New Roman" w:hAnsi="Times New Roman" w:cs="Times New Roman"/>
          <w:sz w:val="28"/>
          <w:szCs w:val="28"/>
        </w:rPr>
        <w:t>Порівняльно-аналітичне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о. 2018. №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икі</w:t>
      </w:r>
      <w:proofErr w:type="spellEnd"/>
      <w:r w:rsidR="001D66B6" w:rsidRPr="001D66B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D66B6" w:rsidRPr="001D66B6">
          <w:rPr>
            <w:rStyle w:val="a6"/>
            <w:rFonts w:ascii="Times New Roman" w:hAnsi="Times New Roman" w:cs="Times New Roman"/>
            <w:sz w:val="28"/>
            <w:szCs w:val="28"/>
          </w:rPr>
          <w:t>http://www.pap.in.ua/index.php/arhiv-vidannja</w:t>
        </w:r>
      </w:hyperlink>
    </w:p>
    <w:p w14:paraId="1311D693" w14:textId="77777777" w:rsidR="00E92FDD" w:rsidRPr="00E92FDD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>: теоретико-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засади (за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МВС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2FDD" w:rsidRPr="00E92FDD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К.: ТОВ «ВПП «ПРОМІНЬ», 2012. 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 639 с.</w:t>
      </w:r>
    </w:p>
    <w:p w14:paraId="2E618851" w14:textId="77777777" w:rsidR="00E92FDD" w:rsidRPr="00611EEF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E92FDD" w:rsidRPr="00E92FDD">
        <w:rPr>
          <w:rFonts w:ascii="Times New Roman" w:hAnsi="Times New Roman" w:cs="Times New Roman"/>
          <w:sz w:val="28"/>
          <w:szCs w:val="28"/>
        </w:rPr>
        <w:t>Уголовно-процессуа</w:t>
      </w:r>
      <w:r>
        <w:rPr>
          <w:rFonts w:ascii="Times New Roman" w:hAnsi="Times New Roman" w:cs="Times New Roman"/>
          <w:sz w:val="28"/>
          <w:szCs w:val="28"/>
        </w:rPr>
        <w:t xml:space="preserve">льное право (уголовный процесс): [учебник для вузов] </w:t>
      </w:r>
      <w:r w:rsidR="00E92FDD" w:rsidRPr="00E92FDD">
        <w:rPr>
          <w:rFonts w:ascii="Times New Roman" w:hAnsi="Times New Roman" w:cs="Times New Roman"/>
          <w:sz w:val="28"/>
          <w:szCs w:val="28"/>
        </w:rPr>
        <w:t>под ред. Г.</w:t>
      </w:r>
      <w:r>
        <w:rPr>
          <w:rFonts w:ascii="Times New Roman" w:hAnsi="Times New Roman" w:cs="Times New Roman"/>
          <w:sz w:val="28"/>
          <w:szCs w:val="28"/>
        </w:rPr>
        <w:t xml:space="preserve">П. Химичевой, О.В. Химичевой. 3-є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М.</w:t>
      </w:r>
      <w:r w:rsidR="00E92FDD" w:rsidRPr="00E92FDD">
        <w:rPr>
          <w:rFonts w:ascii="Times New Roman" w:hAnsi="Times New Roman" w:cs="Times New Roman"/>
          <w:sz w:val="28"/>
          <w:szCs w:val="28"/>
        </w:rPr>
        <w:t>: ЮНИТИ-</w:t>
      </w:r>
      <w:proofErr w:type="gramStart"/>
      <w:r w:rsidR="00E92FDD" w:rsidRPr="00E92FDD">
        <w:rPr>
          <w:rFonts w:ascii="Times New Roman" w:hAnsi="Times New Roman" w:cs="Times New Roman"/>
          <w:sz w:val="28"/>
          <w:szCs w:val="28"/>
        </w:rPr>
        <w:t>ДАНА ;</w:t>
      </w:r>
      <w:proofErr w:type="gram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Закон и </w:t>
      </w:r>
      <w:r>
        <w:rPr>
          <w:rFonts w:ascii="Times New Roman" w:hAnsi="Times New Roman" w:cs="Times New Roman"/>
          <w:sz w:val="28"/>
          <w:szCs w:val="28"/>
        </w:rPr>
        <w:t xml:space="preserve">право, 2004. 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 320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B746C4" w14:textId="77777777" w:rsidR="00E92FDD" w:rsidRPr="00E92FDD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E92FDD" w:rsidRPr="00E92FDD">
        <w:rPr>
          <w:rFonts w:ascii="Times New Roman" w:hAnsi="Times New Roman" w:cs="Times New Roman"/>
          <w:sz w:val="28"/>
          <w:szCs w:val="28"/>
        </w:rPr>
        <w:t>Чельцов-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</w:rPr>
        <w:t>Бебутов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</w:rPr>
        <w:t xml:space="preserve"> М.А. Курс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уголовно-процессуального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права.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Очерки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E92FDD" w:rsidRPr="00E92FD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истории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суда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и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уголовного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процесса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 в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ра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softHyphen/>
        <w:t>бовладельческих</w:t>
      </w:r>
      <w:proofErr w:type="spellEnd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 xml:space="preserve">, </w:t>
      </w:r>
      <w:proofErr w:type="spellStart"/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феода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>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буржуазных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государствах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. СПб.: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, Альфа, 1995. </w:t>
      </w:r>
      <w:r w:rsidR="00E92FDD" w:rsidRPr="00E92FDD">
        <w:rPr>
          <w:rFonts w:ascii="Times New Roman" w:hAnsi="Times New Roman" w:cs="Times New Roman"/>
          <w:sz w:val="28"/>
          <w:szCs w:val="28"/>
          <w:lang w:val="uk-UA" w:bidi="ru-RU"/>
        </w:rPr>
        <w:t>846 с.</w:t>
      </w:r>
    </w:p>
    <w:p w14:paraId="0822C804" w14:textId="77777777" w:rsidR="00F04065" w:rsidRPr="00611EEF" w:rsidRDefault="00611EEF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>35.</w:t>
      </w:r>
      <w:r w:rsidR="00F04065" w:rsidRPr="00F04065">
        <w:rPr>
          <w:rFonts w:ascii="Times New Roman" w:hAnsi="Times New Roman" w:cs="Times New Roman"/>
          <w:sz w:val="28"/>
          <w:szCs w:val="28"/>
          <w:lang w:bidi="ru-RU"/>
        </w:rPr>
        <w:t xml:space="preserve">Якубова А.З.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F04065" w:rsidRPr="00F0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04065" w:rsidRPr="00F0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F04065" w:rsidRPr="00F04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</w:rPr>
        <w:t>підслідності</w:t>
      </w:r>
      <w:proofErr w:type="spellEnd"/>
      <w:r w:rsidR="00F04065" w:rsidRPr="00F040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065" w:rsidRPr="00F040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справа.  2013. №2 (86). Ч.2.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118-123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FE9D7" w14:textId="77777777" w:rsidR="00244BE3" w:rsidRPr="00F04065" w:rsidRDefault="00244BE3" w:rsidP="00611E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4BE3" w:rsidRPr="00F04065" w:rsidSect="00BA265C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D9C8" w14:textId="77777777" w:rsidR="00D640BB" w:rsidRDefault="00D640BB" w:rsidP="00860F56">
      <w:pPr>
        <w:spacing w:after="0" w:line="240" w:lineRule="auto"/>
      </w:pPr>
      <w:r>
        <w:separator/>
      </w:r>
    </w:p>
  </w:endnote>
  <w:endnote w:type="continuationSeparator" w:id="0">
    <w:p w14:paraId="119687CD" w14:textId="77777777" w:rsidR="00D640BB" w:rsidRDefault="00D640BB" w:rsidP="0086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9BB7" w14:textId="77777777" w:rsidR="00D640BB" w:rsidRDefault="00D640BB" w:rsidP="00860F56">
      <w:pPr>
        <w:spacing w:after="0" w:line="240" w:lineRule="auto"/>
      </w:pPr>
      <w:r>
        <w:separator/>
      </w:r>
    </w:p>
  </w:footnote>
  <w:footnote w:type="continuationSeparator" w:id="0">
    <w:p w14:paraId="218AA301" w14:textId="77777777" w:rsidR="00D640BB" w:rsidRDefault="00D640BB" w:rsidP="0086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179713"/>
      <w:docPartObj>
        <w:docPartGallery w:val="Page Numbers (Top of Page)"/>
        <w:docPartUnique/>
      </w:docPartObj>
    </w:sdtPr>
    <w:sdtEndPr/>
    <w:sdtContent>
      <w:p w14:paraId="1557504A" w14:textId="77777777" w:rsidR="00BA265C" w:rsidRDefault="00BA26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0A">
          <w:rPr>
            <w:noProof/>
          </w:rPr>
          <w:t>2</w:t>
        </w:r>
        <w:r>
          <w:fldChar w:fldCharType="end"/>
        </w:r>
      </w:p>
    </w:sdtContent>
  </w:sdt>
  <w:p w14:paraId="51AFEFA3" w14:textId="77777777" w:rsidR="00BA265C" w:rsidRDefault="00BA265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730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17EE5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B08F3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854A6B"/>
    <w:multiLevelType w:val="multilevel"/>
    <w:tmpl w:val="3A22B4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95CF6"/>
    <w:multiLevelType w:val="multilevel"/>
    <w:tmpl w:val="399A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B64E1D"/>
    <w:multiLevelType w:val="multilevel"/>
    <w:tmpl w:val="FD26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417EB"/>
    <w:multiLevelType w:val="multilevel"/>
    <w:tmpl w:val="C84C9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CC6221"/>
    <w:multiLevelType w:val="multilevel"/>
    <w:tmpl w:val="3A22B4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716E4E"/>
    <w:multiLevelType w:val="multilevel"/>
    <w:tmpl w:val="C84C9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2F38E2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06F58"/>
    <w:multiLevelType w:val="multilevel"/>
    <w:tmpl w:val="C71885D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109A0"/>
    <w:multiLevelType w:val="multilevel"/>
    <w:tmpl w:val="C84C9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4674E7"/>
    <w:multiLevelType w:val="multilevel"/>
    <w:tmpl w:val="3A22B4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C73F27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B3393C"/>
    <w:multiLevelType w:val="multilevel"/>
    <w:tmpl w:val="C84C9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475BD"/>
    <w:multiLevelType w:val="multilevel"/>
    <w:tmpl w:val="3A22B4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5E3826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9D7165"/>
    <w:multiLevelType w:val="multilevel"/>
    <w:tmpl w:val="C84C9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BD1311"/>
    <w:multiLevelType w:val="multilevel"/>
    <w:tmpl w:val="3A22B4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B30024"/>
    <w:multiLevelType w:val="multilevel"/>
    <w:tmpl w:val="399A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5349F1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7836BC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7B627A"/>
    <w:multiLevelType w:val="multilevel"/>
    <w:tmpl w:val="3A22B4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847961"/>
    <w:multiLevelType w:val="multilevel"/>
    <w:tmpl w:val="99000B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2E542A"/>
    <w:multiLevelType w:val="multilevel"/>
    <w:tmpl w:val="399A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C5D4C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8B29E8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220875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97306B"/>
    <w:multiLevelType w:val="multilevel"/>
    <w:tmpl w:val="E5BE4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3"/>
  </w:num>
  <w:num w:numId="12">
    <w:abstractNumId w:val="22"/>
  </w:num>
  <w:num w:numId="13">
    <w:abstractNumId w:val="24"/>
  </w:num>
  <w:num w:numId="14">
    <w:abstractNumId w:val="19"/>
  </w:num>
  <w:num w:numId="15">
    <w:abstractNumId w:val="4"/>
  </w:num>
  <w:num w:numId="16">
    <w:abstractNumId w:val="1"/>
  </w:num>
  <w:num w:numId="17">
    <w:abstractNumId w:val="13"/>
  </w:num>
  <w:num w:numId="18">
    <w:abstractNumId w:val="21"/>
  </w:num>
  <w:num w:numId="19">
    <w:abstractNumId w:val="27"/>
  </w:num>
  <w:num w:numId="20">
    <w:abstractNumId w:val="16"/>
  </w:num>
  <w:num w:numId="21">
    <w:abstractNumId w:val="2"/>
  </w:num>
  <w:num w:numId="22">
    <w:abstractNumId w:val="9"/>
  </w:num>
  <w:num w:numId="23">
    <w:abstractNumId w:val="20"/>
  </w:num>
  <w:num w:numId="24">
    <w:abstractNumId w:val="28"/>
  </w:num>
  <w:num w:numId="25">
    <w:abstractNumId w:val="25"/>
  </w:num>
  <w:num w:numId="26">
    <w:abstractNumId w:val="26"/>
  </w:num>
  <w:num w:numId="27">
    <w:abstractNumId w:val="0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63"/>
    <w:rsid w:val="001B7D92"/>
    <w:rsid w:val="001D66B6"/>
    <w:rsid w:val="00244BE3"/>
    <w:rsid w:val="002808DE"/>
    <w:rsid w:val="002D41AC"/>
    <w:rsid w:val="002E5321"/>
    <w:rsid w:val="003A7AF5"/>
    <w:rsid w:val="003C0EB4"/>
    <w:rsid w:val="003C1BAE"/>
    <w:rsid w:val="004802A4"/>
    <w:rsid w:val="0048640A"/>
    <w:rsid w:val="004A57FB"/>
    <w:rsid w:val="00611EEF"/>
    <w:rsid w:val="00632C63"/>
    <w:rsid w:val="00715AEF"/>
    <w:rsid w:val="00736460"/>
    <w:rsid w:val="00745870"/>
    <w:rsid w:val="00860F56"/>
    <w:rsid w:val="00880D90"/>
    <w:rsid w:val="00985200"/>
    <w:rsid w:val="009E7233"/>
    <w:rsid w:val="00A278B2"/>
    <w:rsid w:val="00AA4DF3"/>
    <w:rsid w:val="00B7486E"/>
    <w:rsid w:val="00B769F6"/>
    <w:rsid w:val="00BA265C"/>
    <w:rsid w:val="00C20A32"/>
    <w:rsid w:val="00C54B82"/>
    <w:rsid w:val="00CB1C56"/>
    <w:rsid w:val="00D346D6"/>
    <w:rsid w:val="00D467EF"/>
    <w:rsid w:val="00D640BB"/>
    <w:rsid w:val="00DB5E4D"/>
    <w:rsid w:val="00E84F16"/>
    <w:rsid w:val="00E92FDD"/>
    <w:rsid w:val="00F04065"/>
    <w:rsid w:val="00F8066A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49B"/>
  <w15:docId w15:val="{533B8E62-0876-4B0D-9868-E808C51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0F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0F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0F56"/>
    <w:rPr>
      <w:vertAlign w:val="superscript"/>
    </w:rPr>
  </w:style>
  <w:style w:type="character" w:styleId="a6">
    <w:name w:val="Hyperlink"/>
    <w:basedOn w:val="a0"/>
    <w:uiPriority w:val="99"/>
    <w:unhideWhenUsed/>
    <w:rsid w:val="00D346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58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65C"/>
  </w:style>
  <w:style w:type="paragraph" w:styleId="aa">
    <w:name w:val="footer"/>
    <w:basedOn w:val="a"/>
    <w:link w:val="ab"/>
    <w:uiPriority w:val="99"/>
    <w:unhideWhenUsed/>
    <w:rsid w:val="00BA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.in.ua/index.php/arhiv-vidan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CC63-A3D2-4BE3-B097-C22A9BE4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2020-04-02T11:30:00Z</dcterms:created>
  <dcterms:modified xsi:type="dcterms:W3CDTF">2020-04-02T11:31:00Z</dcterms:modified>
</cp:coreProperties>
</file>