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F008F4D" w14:textId="77777777" w:rsidR="000E05D6" w:rsidRPr="00693790" w:rsidRDefault="00133CA3" w:rsidP="0069379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lang w:val="uk-UA"/>
        </w:rPr>
        <w:tab/>
      </w:r>
      <w:r w:rsidRPr="00693790">
        <w:rPr>
          <w:lang w:val="uk-UA"/>
        </w:rPr>
        <w:tab/>
      </w:r>
      <w:r w:rsidRPr="00693790">
        <w:rPr>
          <w:lang w:val="uk-UA"/>
        </w:rPr>
        <w:tab/>
      </w:r>
      <w:r w:rsidRPr="00693790">
        <w:rPr>
          <w:lang w:val="uk-UA"/>
        </w:rPr>
        <w:tab/>
      </w:r>
      <w:r w:rsidRPr="00693790">
        <w:rPr>
          <w:lang w:val="uk-UA"/>
        </w:rPr>
        <w:tab/>
      </w:r>
      <w:r w:rsidRPr="00693790">
        <w:rPr>
          <w:lang w:val="uk-UA"/>
        </w:rPr>
        <w:tab/>
      </w:r>
      <w:r w:rsidRPr="00693790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14:paraId="73865157" w14:textId="77777777" w:rsidR="00133CA3" w:rsidRPr="00693790" w:rsidRDefault="00133CA3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</w:t>
      </w:r>
      <w:r w:rsidR="005D05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3790">
        <w:rPr>
          <w:rFonts w:ascii="Times New Roman" w:hAnsi="Times New Roman" w:cs="Times New Roman"/>
          <w:sz w:val="28"/>
          <w:szCs w:val="28"/>
          <w:lang w:val="uk-UA"/>
        </w:rPr>
        <w:t>………..3</w:t>
      </w:r>
    </w:p>
    <w:p w14:paraId="02EB64AE" w14:textId="77777777" w:rsidR="00133CA3" w:rsidRPr="00693790" w:rsidRDefault="00133CA3" w:rsidP="006937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РОЗДІЛ 1 </w:t>
      </w:r>
      <w:r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 ДОСУДОВОГО РОЗСЛІДУВАННЯ………</w:t>
      </w:r>
      <w:r w:rsidR="005D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</w:t>
      </w:r>
      <w:r w:rsidR="00205550"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..6</w:t>
      </w:r>
    </w:p>
    <w:p w14:paraId="1B82143F" w14:textId="77777777" w:rsidR="00133CA3" w:rsidRPr="00693790" w:rsidRDefault="00133CA3" w:rsidP="006937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РОЗДІЛ 2 </w:t>
      </w:r>
      <w:r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ОРГАНУ ДОСУДОВОГО РОЗСЛІДУВАННЯ ТА ЙОГО ПОВНОВАЖЕННЯ………………………………………………………..</w:t>
      </w:r>
      <w:r w:rsidR="0002631E"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.15</w:t>
      </w:r>
    </w:p>
    <w:p w14:paraId="684F6EBB" w14:textId="77777777" w:rsidR="00133CA3" w:rsidRPr="00693790" w:rsidRDefault="00133CA3" w:rsidP="006937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РОЗДІЛ 3 </w:t>
      </w:r>
      <w:r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СЛІДЧИЙ ОРГАНУ ДОСУДОВОГО РОЗСЛІДУВАННЯ, ЙОГО ПРОЦЕСУАЛЬНІ ПОВНОВАЖЕННЯ……………</w:t>
      </w:r>
      <w:r w:rsidR="009930BA"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</w:p>
    <w:p w14:paraId="4A57F578" w14:textId="77777777" w:rsidR="00133CA3" w:rsidRPr="00693790" w:rsidRDefault="00133CA3" w:rsidP="006937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РОЗДІЛ 4 </w:t>
      </w:r>
      <w:r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ПІДСТАВИ ДЛЯ ВІДВОДУ СЛІДЧОГО………………</w:t>
      </w:r>
      <w:r w:rsidR="005D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r w:rsidR="00FA08D5"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03543"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</w:p>
    <w:p w14:paraId="2B70C7E6" w14:textId="77777777" w:rsidR="00133CA3" w:rsidRPr="00693790" w:rsidRDefault="00133CA3" w:rsidP="006937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ВИСНОВКИ</w:t>
      </w:r>
      <w:r w:rsidR="00112978"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</w:t>
      </w:r>
      <w:r w:rsidR="005D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B21046"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112978"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</w:p>
    <w:p w14:paraId="20B18B16" w14:textId="77777777" w:rsidR="00133CA3" w:rsidRPr="00693790" w:rsidRDefault="00133CA3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ВИКОРИСТАНИХ ДЖЕРЕЛ……………………</w:t>
      </w:r>
      <w:r w:rsidR="005D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…………….</w:t>
      </w:r>
      <w:r w:rsidR="00112978"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</w:p>
    <w:p w14:paraId="56319E3D" w14:textId="77777777" w:rsidR="00133CA3" w:rsidRPr="00693790" w:rsidRDefault="00133CA3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905C6E" w14:textId="77777777" w:rsidR="00CB391D" w:rsidRPr="00693790" w:rsidRDefault="00CB391D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36D2BB" w14:textId="77777777" w:rsidR="00CB391D" w:rsidRPr="00693790" w:rsidRDefault="00CB391D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3F49EC" w14:textId="77777777" w:rsidR="00CB391D" w:rsidRPr="00693790" w:rsidRDefault="00CB391D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038B1F" w14:textId="77777777" w:rsidR="00CB391D" w:rsidRPr="00693790" w:rsidRDefault="00CB391D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FCFA6E" w14:textId="77777777" w:rsidR="00CB391D" w:rsidRPr="00693790" w:rsidRDefault="00CB391D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203A74" w14:textId="77777777" w:rsidR="00CB391D" w:rsidRPr="00693790" w:rsidRDefault="00CB391D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6F74F0" w14:textId="77777777" w:rsidR="00CB391D" w:rsidRPr="00693790" w:rsidRDefault="00CB391D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624AD" w14:textId="77777777" w:rsidR="00CB391D" w:rsidRPr="00693790" w:rsidRDefault="00CB391D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1A0D0B" w14:textId="77777777" w:rsidR="00CB391D" w:rsidRPr="00693790" w:rsidRDefault="00CB391D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730CC7" w14:textId="77777777" w:rsidR="00CB391D" w:rsidRPr="00693790" w:rsidRDefault="00CB391D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BE0775" w14:textId="77777777" w:rsidR="00CB391D" w:rsidRPr="00693790" w:rsidRDefault="00CB391D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30FEA7" w14:textId="77777777" w:rsidR="00CB391D" w:rsidRPr="00693790" w:rsidRDefault="00CB391D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A61CC5" w14:textId="77777777" w:rsidR="00CB391D" w:rsidRPr="00693790" w:rsidRDefault="00CB391D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AA6BB6" w14:textId="77777777" w:rsidR="00CE5664" w:rsidRDefault="00CE5664" w:rsidP="00CE566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F2FD28" w14:textId="77777777" w:rsidR="00CE5664" w:rsidRDefault="00CE5664" w:rsidP="00CE566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E6D1C7" w14:textId="77777777" w:rsidR="00CE5664" w:rsidRDefault="00CE5664" w:rsidP="00CE566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0AAF03" w14:textId="77777777" w:rsidR="00CE5664" w:rsidRDefault="00CE5664" w:rsidP="00CE566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E8D955" w14:textId="77777777" w:rsidR="00CE5664" w:rsidRDefault="00CE5664" w:rsidP="00CE566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E68A83" w14:textId="77777777" w:rsidR="00CE5664" w:rsidRDefault="00CE5664" w:rsidP="00CE566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5CAE84" w14:textId="77777777" w:rsidR="00CB391D" w:rsidRPr="00693790" w:rsidRDefault="00CB391D" w:rsidP="00CE566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1F9FB926" w14:textId="77777777" w:rsidR="00B21046" w:rsidRPr="00693790" w:rsidRDefault="00B21046" w:rsidP="0069379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8EAD50" w14:textId="77777777" w:rsidR="00890500" w:rsidRPr="00693790" w:rsidRDefault="00CB391D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="00195E49"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 Кожна цивілізована, правова держава у своєму найвищому законі закріплює основоположні права людини і громадянина, які нею забезпечуються та гарантуються людині і громадянин</w:t>
      </w:r>
      <w:r w:rsidR="00890500" w:rsidRPr="00693790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14:paraId="759BACFA" w14:textId="77777777" w:rsidR="00CE5664" w:rsidRDefault="00890500" w:rsidP="00CE56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</w:p>
    <w:p w14:paraId="7047E7A2" w14:textId="77777777" w:rsidR="00E7049E" w:rsidRPr="00693790" w:rsidRDefault="00E7049E" w:rsidP="00CE56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>Акту</w:t>
      </w:r>
      <w:r w:rsidR="004B64DF"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альність </w:t>
      </w:r>
      <w:r w:rsidR="00CE5664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5652C8"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7F12"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законодавчі норми, що регулюють питання їх </w:t>
      </w:r>
      <w:r w:rsidR="00BF5C14" w:rsidRPr="00693790">
        <w:rPr>
          <w:rFonts w:ascii="Times New Roman" w:hAnsi="Times New Roman" w:cs="Times New Roman"/>
          <w:sz w:val="28"/>
          <w:szCs w:val="28"/>
          <w:lang w:val="uk-UA"/>
        </w:rPr>
        <w:t>функціонування.</w:t>
      </w:r>
    </w:p>
    <w:p w14:paraId="118E1296" w14:textId="77777777" w:rsidR="00BF5C14" w:rsidRPr="00693790" w:rsidRDefault="00BF5C14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b/>
          <w:sz w:val="28"/>
          <w:szCs w:val="28"/>
          <w:lang w:val="uk-UA"/>
        </w:rPr>
        <w:t>Мета і задачі дослідження.</w:t>
      </w: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64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372ED2" w:rsidRPr="006937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6BCB27" w14:textId="77777777" w:rsidR="00372ED2" w:rsidRPr="00693790" w:rsidRDefault="00372ED2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цієї мети були поставлені наступні </w:t>
      </w:r>
      <w:r w:rsidRPr="00693790">
        <w:rPr>
          <w:rFonts w:ascii="Times New Roman" w:hAnsi="Times New Roman" w:cs="Times New Roman"/>
          <w:b/>
          <w:sz w:val="28"/>
          <w:szCs w:val="28"/>
          <w:lang w:val="uk-UA"/>
        </w:rPr>
        <w:t>задачі</w:t>
      </w:r>
      <w:r w:rsidRPr="0069379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C5D55A8" w14:textId="77777777" w:rsidR="009A3CF9" w:rsidRPr="00693790" w:rsidRDefault="00CE5664" w:rsidP="0069379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33ABFA9A" w14:textId="77777777" w:rsidR="009A3CF9" w:rsidRPr="00693790" w:rsidRDefault="00377868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b/>
          <w:sz w:val="28"/>
          <w:szCs w:val="28"/>
          <w:lang w:val="uk-UA"/>
        </w:rPr>
        <w:t>Об'єктом</w:t>
      </w: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</w:t>
      </w:r>
      <w:r w:rsidR="00CE566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7B9C75A" w14:textId="77777777" w:rsidR="00B36EA9" w:rsidRPr="00693790" w:rsidRDefault="00B36EA9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="00CE566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D21A6A1" w14:textId="77777777" w:rsidR="00B36EA9" w:rsidRPr="00693790" w:rsidRDefault="00B36EA9" w:rsidP="00CE56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дослідження.</w:t>
      </w: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 Для розв'язання </w:t>
      </w:r>
      <w:r w:rsidR="00CE566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F024DA5" w14:textId="77777777" w:rsidR="00CB391D" w:rsidRPr="00693790" w:rsidRDefault="00B36EA9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роботи зумовлена метою і задачами дослідження, складається зі вступу, </w:t>
      </w:r>
      <w:r w:rsidR="00F46B73" w:rsidRPr="00693790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 розділів, висновків, списку використаних джерел (</w:t>
      </w:r>
      <w:r w:rsidR="009B5908" w:rsidRPr="00693790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найменування). Загальний обсяг роботи – </w:t>
      </w:r>
      <w:r w:rsidR="009B5908" w:rsidRPr="0069379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 сторінок, з яких </w:t>
      </w:r>
      <w:r w:rsidR="004F4B56" w:rsidRPr="0069379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 – основний текст.</w:t>
      </w:r>
    </w:p>
    <w:p w14:paraId="4669A701" w14:textId="77777777" w:rsidR="00F46B73" w:rsidRPr="00693790" w:rsidRDefault="00F46B73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38B923" w14:textId="77777777" w:rsidR="00F46B73" w:rsidRPr="00693790" w:rsidRDefault="00F46B73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236382" w14:textId="77777777" w:rsidR="00F46B73" w:rsidRPr="00693790" w:rsidRDefault="00F46B73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AD4C5F" w14:textId="77777777" w:rsidR="00F46B73" w:rsidRPr="00693790" w:rsidRDefault="00F46B73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577954" w14:textId="77777777" w:rsidR="00F46B73" w:rsidRPr="00693790" w:rsidRDefault="00F46B73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D67ACA" w14:textId="77777777" w:rsidR="00F46B73" w:rsidRPr="00693790" w:rsidRDefault="00F46B73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3140BE" w14:textId="77777777" w:rsidR="00F46B73" w:rsidRPr="00693790" w:rsidRDefault="00F46B73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8D9D0E" w14:textId="77777777" w:rsidR="00F46B73" w:rsidRPr="00693790" w:rsidRDefault="00F46B73" w:rsidP="00693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EE85F" w14:textId="77777777" w:rsidR="00693790" w:rsidRDefault="00F46B73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1 </w:t>
      </w:r>
    </w:p>
    <w:p w14:paraId="04B54687" w14:textId="77777777" w:rsidR="004E57A4" w:rsidRDefault="00E56C9A" w:rsidP="0069379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37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ОРГАНИ ДОСУДОВОГО РОЗСЛІДУВАННЯ</w:t>
      </w:r>
    </w:p>
    <w:p w14:paraId="395F5D7E" w14:textId="77777777" w:rsidR="00693790" w:rsidRP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928A4F" w14:textId="77777777" w:rsidR="00E56C9A" w:rsidRPr="00693790" w:rsidRDefault="00E56C9A" w:rsidP="006937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Для початку, з метою кращого розуміння самого поняття «органи досудового розслідування», слід </w:t>
      </w:r>
      <w:r w:rsidR="00B343DB" w:rsidRPr="0069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дослідити вказане поняття та його сутність.</w:t>
      </w:r>
    </w:p>
    <w:p w14:paraId="02D0C2E2" w14:textId="77777777" w:rsidR="00870D5E" w:rsidRPr="00693790" w:rsidRDefault="00870D5E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9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до </w:t>
      </w:r>
      <w:r w:rsidR="009A4468" w:rsidRPr="0069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п. 14 ст. 92 Конституції України </w:t>
      </w:r>
      <w:r w:rsidR="009A4468" w:rsidRPr="00693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виключно законами України визначається судоустрій, судочинство, статус суддів; засади судової експертизи; організація і діяльність прокуратури, нотаріату, органів</w:t>
      </w:r>
      <w:r w:rsidR="00693790" w:rsidRPr="00693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досудового </w:t>
      </w:r>
      <w:r w:rsidR="009A4468" w:rsidRPr="00693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розслідування, органів і установ виконання покарань; порядок виконання судових рішень; засади організації та діяльності адвокатури [1].</w:t>
      </w:r>
    </w:p>
    <w:p w14:paraId="1DD104D6" w14:textId="77777777" w:rsidR="009A4468" w:rsidRPr="00693790" w:rsidRDefault="00693790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Статтею</w:t>
      </w:r>
      <w:r w:rsidR="00E703A3" w:rsidRPr="00693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38 Кримінального процесуального кодексу України закріплено, що органами досудового </w:t>
      </w:r>
      <w:r w:rsidR="00E703A3" w:rsidRPr="0069379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розслідування (органами, що здійснюють дізнання і досудове слідство) є:</w:t>
      </w:r>
    </w:p>
    <w:p w14:paraId="76B34A13" w14:textId="77777777" w:rsidR="00AC06B0" w:rsidRPr="00693790" w:rsidRDefault="00AC06B0" w:rsidP="0069379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93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слідчі підрозділи:</w:t>
      </w:r>
    </w:p>
    <w:p w14:paraId="572DC4EB" w14:textId="77777777" w:rsidR="00AC06B0" w:rsidRPr="00693790" w:rsidRDefault="00AC06B0" w:rsidP="0069379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9379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органів Національної поліції;</w:t>
      </w:r>
    </w:p>
    <w:p w14:paraId="11E85BB1" w14:textId="77777777" w:rsidR="00AC06B0" w:rsidRPr="00693790" w:rsidRDefault="00AC06B0" w:rsidP="0069379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9379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органів безпеки;</w:t>
      </w:r>
    </w:p>
    <w:p w14:paraId="1A12537E" w14:textId="77777777" w:rsidR="00AC06B0" w:rsidRPr="00693790" w:rsidRDefault="00AC06B0" w:rsidP="0069379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9379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органів, що здійснюють контроль за додержанням податкового законодавства;</w:t>
      </w:r>
    </w:p>
    <w:p w14:paraId="4C19D979" w14:textId="77777777" w:rsidR="00110B34" w:rsidRPr="00693790" w:rsidRDefault="00CE5664" w:rsidP="00CE56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  <w:r w:rsidR="009269C4" w:rsidRPr="006937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управлінь Національної поліції в Автономній Республіці Крим та місті Севастополі, областях та місті Києві, територіальних (відокремлених) підрозділів головних управлінь Національної поліції в Автономній Республіці Крим та місті Севастополі, областях та місті Києві  (далі - територіальні (відокремлені) підрозділи поліції), які згідно з кримінальним процесуальним законодавством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  <w:r w:rsidR="00110B34" w:rsidRPr="00693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досудове розслідування злочинів, вчинених на території або в приміщеннях Державної кримінально-виконавчої служби України</w:t>
      </w:r>
      <w:r w:rsidR="00653658" w:rsidRPr="00693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53658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[2].</w:t>
      </w:r>
    </w:p>
    <w:p w14:paraId="16B8C27D" w14:textId="77777777" w:rsidR="00693790" w:rsidRDefault="008513B3" w:rsidP="00CE56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Отже, </w:t>
      </w:r>
      <w:r w:rsidR="00CE5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…</w:t>
      </w:r>
    </w:p>
    <w:p w14:paraId="4909EC7B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CC217EE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D1CD8DB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6B829C4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22726BC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305CEAB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0D63DD4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60EC156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F1BD97B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A732A56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F2BF93D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5056463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AE911E3" w14:textId="77777777" w:rsidR="00693790" w:rsidRDefault="0002631E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 2</w:t>
      </w:r>
    </w:p>
    <w:p w14:paraId="0A602F46" w14:textId="77777777" w:rsidR="00AA67DC" w:rsidRDefault="0002631E" w:rsidP="0069379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937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6937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КЕРІВНИК ОРГАНУ ДОСУДОВОГО РОЗСЛІДУВАННЯ ТА ЙОГО ПОВНОВАЖЕННЯ</w:t>
      </w:r>
    </w:p>
    <w:p w14:paraId="27024302" w14:textId="77777777" w:rsidR="00693790" w:rsidRP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1CD16E82" w14:textId="77777777" w:rsidR="0002631E" w:rsidRPr="00693790" w:rsidRDefault="006E4D93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Важлива роль </w:t>
      </w:r>
      <w:r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розв’язанні завдань, що стоять перед правоохоронними органами, зокрема щодо забезпечення прав і свобод громадян, належить органу досудового розслідування. Особливе значення в організації досудового розслідування має керівник зазначеного органу. Саме з прийняттям нового кримінального процесуального законодавства дослідження проблемних питань правової регламентації діяльності керівника органу досудового розслідування набуло ще більшої актуальності [10].</w:t>
      </w:r>
    </w:p>
    <w:p w14:paraId="29892F58" w14:textId="77777777" w:rsidR="00946B78" w:rsidRPr="00693790" w:rsidRDefault="0007473B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Статтею </w:t>
      </w:r>
      <w:r w:rsidR="00CC5ADD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39 КПК України закріплено, що </w:t>
      </w:r>
      <w:r w:rsidR="00E05957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Керівник органу досудового розслідування організовує досудове розслідування, та є уповноважений :</w:t>
      </w:r>
    </w:p>
    <w:p w14:paraId="0EEA0CB4" w14:textId="77777777" w:rsidR="007F12CF" w:rsidRPr="00693790" w:rsidRDefault="00E05957" w:rsidP="00CE566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визначати слідчого (слідчих), який здійснюватиме досудове розслідування, а </w:t>
      </w:r>
      <w:r w:rsidR="00CE5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="0042128F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наведе визначення, вважають, що керівником — це службова особа, якій делеговано повноваження владного характеру та право віддавати накази і розпорядження, що є обов’язковими для виконання підлеглими. Саме керівник має виробляти стратегію управління та консолідувати зусилля колективу на вирішення важливих завдань, використовуючи при цьому надану йому владу [1</w:t>
      </w:r>
      <w:r w:rsidR="007F12CF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42128F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32]. </w:t>
      </w:r>
    </w:p>
    <w:p w14:paraId="43F5FEAD" w14:textId="77777777" w:rsidR="005B0A73" w:rsidRPr="00693790" w:rsidRDefault="0042128F" w:rsidP="00CE56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перекладі з латинської «статус» (лат. – </w:t>
      </w:r>
      <w:proofErr w:type="spellStart"/>
      <w:r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status</w:t>
      </w:r>
      <w:proofErr w:type="spellEnd"/>
      <w:r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означає положення, ст</w:t>
      </w:r>
      <w:r w:rsidR="00E3686E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 чого-небудь чи кого-небудь [14</w:t>
      </w:r>
      <w:r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335]. Великий тлумачний словник сучасної української мови визначає «статус» як правове становище громадян, державних і громадських органів,</w:t>
      </w:r>
      <w:r w:rsidR="00E3686E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міжнародних </w:t>
      </w:r>
      <w:r w:rsidR="00CE5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</w:p>
    <w:p w14:paraId="4F380FE8" w14:textId="77777777" w:rsidR="00DF5512" w:rsidRPr="00693790" w:rsidRDefault="007E7D6D" w:rsidP="006937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Отже, </w:t>
      </w:r>
      <w:r w:rsidR="00CE5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….</w:t>
      </w:r>
    </w:p>
    <w:p w14:paraId="34C7280D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7583C5C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F1073C1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535A740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65E3111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68D4BD0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5A26752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26278E6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6C4EDA9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BDE71FD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FC7F205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49C6E13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037BAF4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50BD345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1B4D37B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1221895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415F28E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9071709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00BB239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BC11B82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A492C28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42FE3F5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C48F74A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64377B8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554C3A2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FE1E602" w14:textId="77777777" w:rsid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841B17E" w14:textId="77777777" w:rsidR="00693790" w:rsidRDefault="00DF5512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РОЗДІЛ 3 </w:t>
      </w:r>
    </w:p>
    <w:p w14:paraId="0B4315A7" w14:textId="77777777" w:rsidR="00693790" w:rsidRDefault="00DF5512" w:rsidP="0069379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937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СЛІДЧИЙ ОРГАНУ ДОСУДОВОГО</w:t>
      </w:r>
      <w:r w:rsidR="006937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6937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РОЗСЛІДУВАННЯ, </w:t>
      </w:r>
    </w:p>
    <w:p w14:paraId="27A26A48" w14:textId="77777777" w:rsidR="00DF5512" w:rsidRDefault="00DF5512" w:rsidP="0069379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937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ЙОГО ПРОЦЕСУАЛЬНІ ПОВНОВАЖЕННЯ</w:t>
      </w:r>
    </w:p>
    <w:p w14:paraId="1CD411FE" w14:textId="77777777" w:rsidR="00693790" w:rsidRP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0EC2FBD8" w14:textId="77777777" w:rsidR="00586D02" w:rsidRPr="00693790" w:rsidRDefault="00586D02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Новий Кримінальний процесуальний кодекс України 2012 року суттєво і принципово змінив правову регламентацію всього кримінального судочинства та досудового розслідування і, зокрема, запровадив низку законодавчих заходів щодо зміцнення становища та підвищення ролі органів прокуратури і суду у кримінальному судочинстві. На жаль, цього не можна сказати про органи досудового розслідування і слідчого, процесуальні повноваження якого суттєво обмежені у діючому КПК України, а його процесуальна самостійність взагал</w:t>
      </w:r>
      <w:r w:rsidR="0078620C"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і зведена до мінімального рівня </w:t>
      </w:r>
      <w:r w:rsidR="0078620C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[19, с. 1].</w:t>
      </w:r>
    </w:p>
    <w:p w14:paraId="69443448" w14:textId="77777777" w:rsidR="009E1C46" w:rsidRPr="00693790" w:rsidRDefault="00586D02" w:rsidP="00CE56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У змагальній формі кримінального провадження, до якого прагне вітчизняне судочинство, </w:t>
      </w:r>
      <w:r w:rsidR="00CE5664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1A2F8D"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 перекручень щодо розуміння основного призначення слідчого, його місця й ролі в системі правоохоронних органів, що в цілому заважає досягненню загальних завдан</w:t>
      </w:r>
      <w:r w:rsidR="00B03B6E"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ь кримінального провадження </w:t>
      </w:r>
      <w:r w:rsidR="00B03B6E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[2].</w:t>
      </w:r>
    </w:p>
    <w:p w14:paraId="78968B70" w14:textId="77777777" w:rsidR="00FB6EB0" w:rsidRPr="00693790" w:rsidRDefault="001A2F8D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>Поняття процесуальної самостійності слідчого відоме у кримінальному судочинстві вже більше століття, але й досі, незважаючи на такий тривалий час, серед науковців і практичних працівників сфери кримінальної юстиції не існує одностайності у розумінні його сутності. В якійсь мірі такому становищу сприяє й відсутність чіткого визначення цього поняття у крим</w:t>
      </w:r>
      <w:r w:rsidR="00B03B6E"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інальному процесуальному Законі </w:t>
      </w:r>
      <w:r w:rsidR="00B03B6E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[2].</w:t>
      </w:r>
    </w:p>
    <w:p w14:paraId="42704D5C" w14:textId="77777777" w:rsidR="008D44BF" w:rsidRPr="00693790" w:rsidRDefault="009E1C46" w:rsidP="00CE56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процесуальну самостійність слідчого розуміють як важливий елемент його статусу, </w:t>
      </w:r>
      <w:r w:rsidR="00CE5664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8D44BF"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  чинне законодавство відносить термін «детектив» до більш широкого поняття «слідчий». Разом із тим законодавець не враховує той факт, що посада детектива передбачає не лише здійснення досудового розслідування, але й проведення о</w:t>
      </w:r>
      <w:r w:rsidR="003220DD"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перативно-розшукової діяльності </w:t>
      </w:r>
      <w:r w:rsidR="003220DD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[21, с. 464].</w:t>
      </w:r>
    </w:p>
    <w:p w14:paraId="69549E0F" w14:textId="77777777" w:rsidR="008D44BF" w:rsidRPr="00693790" w:rsidRDefault="008D44BF" w:rsidP="00CE56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>Абзац 11 частини першої ст. 5 Закону України «Про оперативно</w:t>
      </w:r>
      <w:r w:rsidR="003220DD" w:rsidRPr="0069379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розшукову діяльність» визначає, що оперативно-розшукова діяльність здійснюється оперативними підрозділами Національного антикорупційного бюро України: детективів, </w:t>
      </w:r>
      <w:proofErr w:type="spellStart"/>
      <w:r w:rsidRPr="00693790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69379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E566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6E4084E8" w14:textId="77777777" w:rsidR="00FA08D5" w:rsidRPr="00693790" w:rsidRDefault="001331F8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Тобто, </w:t>
      </w:r>
      <w:r w:rsidR="00CE56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3C37A1DB" w14:textId="77777777" w:rsidR="00FA08D5" w:rsidRPr="00693790" w:rsidRDefault="00FA08D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D4925DA" w14:textId="77777777" w:rsidR="00FA08D5" w:rsidRPr="00693790" w:rsidRDefault="00FA08D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A3DE720" w14:textId="77777777" w:rsidR="00FA08D5" w:rsidRPr="00693790" w:rsidRDefault="00FA08D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3D882AD" w14:textId="77777777" w:rsidR="00FA08D5" w:rsidRPr="00693790" w:rsidRDefault="00FA08D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41A0EB3" w14:textId="77777777" w:rsidR="00FA08D5" w:rsidRPr="00693790" w:rsidRDefault="00FA08D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6B2B994" w14:textId="77777777" w:rsidR="00FA08D5" w:rsidRPr="00693790" w:rsidRDefault="00FA08D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186205C" w14:textId="77777777" w:rsidR="00FA08D5" w:rsidRPr="00693790" w:rsidRDefault="00FA08D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19428BC" w14:textId="77777777" w:rsidR="00FA08D5" w:rsidRPr="00693790" w:rsidRDefault="00FA08D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BEBA0CC" w14:textId="77777777" w:rsidR="00FA08D5" w:rsidRPr="00693790" w:rsidRDefault="00FA08D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984662F" w14:textId="77777777" w:rsidR="00FA08D5" w:rsidRPr="00693790" w:rsidRDefault="00FA08D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750FC22" w14:textId="77777777" w:rsidR="00FA08D5" w:rsidRPr="00693790" w:rsidRDefault="00FA08D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8E55CC6" w14:textId="77777777" w:rsidR="00FA08D5" w:rsidRPr="00693790" w:rsidRDefault="00FA08D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224E927" w14:textId="77777777" w:rsidR="00FA08D5" w:rsidRPr="00693790" w:rsidRDefault="00FA08D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D11531C" w14:textId="77777777" w:rsidR="00FA08D5" w:rsidRPr="00693790" w:rsidRDefault="00FA08D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CAE4020" w14:textId="77777777" w:rsidR="00FA08D5" w:rsidRPr="00693790" w:rsidRDefault="00FA08D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3DED521" w14:textId="77777777" w:rsidR="00FA08D5" w:rsidRPr="00693790" w:rsidRDefault="00FA08D5" w:rsidP="0069379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6A33419" w14:textId="77777777" w:rsidR="00693790" w:rsidRDefault="00FA08D5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4 </w:t>
      </w:r>
    </w:p>
    <w:p w14:paraId="3E126625" w14:textId="77777777" w:rsidR="00FA08D5" w:rsidRDefault="00FA08D5" w:rsidP="0069379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37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ПІДСТАВИ ДЛЯ ВІДВОДУ СЛІДЧОГО</w:t>
      </w:r>
    </w:p>
    <w:p w14:paraId="62E562B8" w14:textId="77777777" w:rsidR="00693790" w:rsidRP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091F69" w14:textId="77777777" w:rsidR="00FA08D5" w:rsidRPr="00693790" w:rsidRDefault="0025212D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Серед засад кримінального провадження одне з чільних місць займає засада законності. Вона закріплена в ст. 9 чинного Кримінального процесуального кодексу України. </w:t>
      </w:r>
      <w:r w:rsidR="00CE566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. І саме тому його об’єктивність та неупередженість має винятково важливе значення при здійсненні ним слідчих (розшукових) дій та негласних (розшукових) дій, </w:t>
      </w:r>
      <w:r w:rsidR="004C63B7"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прийнятті процесуальних рішень </w:t>
      </w:r>
      <w:r w:rsidR="00FC1643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[23, с. 94].</w:t>
      </w:r>
    </w:p>
    <w:p w14:paraId="1A06CE92" w14:textId="77777777" w:rsidR="00DD53D6" w:rsidRPr="00693790" w:rsidRDefault="00DD53D6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 6 Конвенції «Про захист прав людини і</w:t>
      </w:r>
      <w:r w:rsidR="00B77C21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основоположних свобод», кожен має право на справедливий і публічний розгляд його справи упродовж розумно</w:t>
      </w:r>
      <w:r w:rsidR="006F2CAB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 строку незалежним і безстороннім</w:t>
      </w:r>
      <w:r w:rsidR="00B77C21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судом</w:t>
      </w:r>
      <w:r w:rsidR="003B7B38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встановленим законом, який вирішить спір щодо його прав та обов’язків цивільного характеру або встановить обґрунтованість будь-якого висунутого проти нь</w:t>
      </w:r>
      <w:r w:rsidR="006F2CAB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 кримінального обвинувачення [24].</w:t>
      </w:r>
    </w:p>
    <w:p w14:paraId="122F7F33" w14:textId="77777777" w:rsidR="000253C7" w:rsidRPr="00693790" w:rsidRDefault="00B91615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Згідно зі ст. 77 КПК України, </w:t>
      </w:r>
      <w:r w:rsidR="000253C7" w:rsidRPr="0069379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прокурор, слідчий не має права брати участь у кримінальному провадженні:</w:t>
      </w:r>
    </w:p>
    <w:p w14:paraId="432F77EE" w14:textId="77777777" w:rsidR="00463883" w:rsidRPr="00693790" w:rsidRDefault="000253C7" w:rsidP="0069379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якщо він є заявником, потерпілим, цивільним позивачем, цивільним відповідачем, членом сім’ї або близьким </w:t>
      </w:r>
      <w:proofErr w:type="spellStart"/>
      <w:r w:rsidRPr="0069379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родичем</w:t>
      </w:r>
      <w:proofErr w:type="spellEnd"/>
      <w:r w:rsidRPr="006937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сторони, заявника, потерпілого, цивільного позивача або цивільного відповідача;</w:t>
      </w:r>
    </w:p>
    <w:p w14:paraId="0F18CC57" w14:textId="77777777" w:rsidR="00326478" w:rsidRPr="00693790" w:rsidRDefault="000253C7" w:rsidP="00CE566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якщо він брав </w:t>
      </w:r>
      <w:r w:rsidR="00CE5664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  <w:r w:rsidR="00330CB7"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 (ст. 2 КПК). Розв’язання цього завдання сприяє, з одного боку, реалізації принципу невідворотності відповідальності за правопорушення, а, з іншого, – недопущенню обвинувачення або засудження жо</w:t>
      </w:r>
      <w:r w:rsidR="00EE0542"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дного невинуватого </w:t>
      </w:r>
      <w:r w:rsidR="00EE0542" w:rsidRPr="0069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[29].</w:t>
      </w:r>
    </w:p>
    <w:p w14:paraId="4563E824" w14:textId="77777777" w:rsidR="00330CB7" w:rsidRPr="00693790" w:rsidRDefault="00330CB7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>До оціночної підстави необ’єктив</w:t>
      </w:r>
      <w:r w:rsidR="00EE0542"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ності (упередженості) слідчого </w:t>
      </w: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закон відносить й інші обставини, які викликають обґрунтовані сумніви щодо неупередженості слідчого, </w:t>
      </w:r>
      <w:r w:rsidR="00CE566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4CD924F" w14:textId="77777777" w:rsidR="00293C07" w:rsidRPr="00693790" w:rsidRDefault="006B1411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Тобто, </w:t>
      </w:r>
      <w:r w:rsidR="00CE566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D72A362" w14:textId="77777777" w:rsidR="00293C07" w:rsidRPr="00693790" w:rsidRDefault="00293C07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F2D9C4" w14:textId="77777777" w:rsidR="00293C07" w:rsidRPr="00693790" w:rsidRDefault="00293C07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991516" w14:textId="77777777" w:rsidR="00293C07" w:rsidRPr="00693790" w:rsidRDefault="00293C07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AC183" w14:textId="77777777" w:rsidR="00293C07" w:rsidRPr="00693790" w:rsidRDefault="00293C07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6E943C" w14:textId="77777777" w:rsidR="00293C07" w:rsidRPr="00693790" w:rsidRDefault="00293C07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398CE0" w14:textId="77777777" w:rsidR="00293C07" w:rsidRPr="00693790" w:rsidRDefault="00293C07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DE475C" w14:textId="77777777" w:rsidR="00293C07" w:rsidRPr="00693790" w:rsidRDefault="00293C07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49A65" w14:textId="77777777" w:rsidR="00293C07" w:rsidRPr="00693790" w:rsidRDefault="00293C07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83E5D7" w14:textId="77777777" w:rsidR="00293C07" w:rsidRPr="00693790" w:rsidRDefault="00293C07" w:rsidP="00693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153815" w14:textId="77777777" w:rsidR="00293C07" w:rsidRDefault="00293C07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790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67154256" w14:textId="77777777" w:rsidR="00693790" w:rsidRP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9ECCBD" w14:textId="77777777" w:rsidR="002C044A" w:rsidRPr="00693790" w:rsidRDefault="00460AF4" w:rsidP="00CE566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790">
        <w:rPr>
          <w:rFonts w:ascii="Times New Roman" w:hAnsi="Times New Roman" w:cs="Times New Roman"/>
          <w:sz w:val="28"/>
          <w:szCs w:val="28"/>
          <w:lang w:val="uk-UA"/>
        </w:rPr>
        <w:t>У межах даної курсової роботи мною досліджено систему органів досудового розслідування, розмежування їх компетенції, засади їх функціонування</w:t>
      </w:r>
      <w:r w:rsidR="000B7157" w:rsidRPr="00693790">
        <w:rPr>
          <w:rFonts w:ascii="Times New Roman" w:hAnsi="Times New Roman" w:cs="Times New Roman"/>
          <w:sz w:val="28"/>
          <w:szCs w:val="28"/>
          <w:lang w:val="uk-UA"/>
        </w:rPr>
        <w:t xml:space="preserve">, розглянуто статус </w:t>
      </w:r>
      <w:r w:rsidR="00CE566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8212CED" w14:textId="77777777" w:rsidR="002C044A" w:rsidRPr="00693790" w:rsidRDefault="002C044A" w:rsidP="006937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C557C4" w14:textId="77777777" w:rsidR="002C044A" w:rsidRPr="00693790" w:rsidRDefault="002C044A" w:rsidP="006937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C4C19B" w14:textId="77777777" w:rsidR="002C044A" w:rsidRDefault="002C044A" w:rsidP="0069379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37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</w:t>
      </w:r>
    </w:p>
    <w:p w14:paraId="23445B7C" w14:textId="77777777" w:rsidR="00693790" w:rsidRPr="00693790" w:rsidRDefault="00693790" w:rsidP="0069379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A012566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Конституція України від 28.06.1996 №254к/96-ВР. Редакція від 21.02.2019.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FD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7" w:anchor="w11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https://zakon.rada.gov.ua/laws/show/254%D0%BA/96-%D0%B2%D1%80?find=1&amp;text=%E4%EE%F1%F3%E4%EE%E2%EE%E3%EE#w11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24.04.2020)</w:t>
      </w:r>
    </w:p>
    <w:p w14:paraId="4904ABB8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Кримінальний процесуальний кодекс України від 13.04.2012 №4651-VI. Редакція від 11.01.2019.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FD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8" w:anchor="n740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https://zakon.rada.gov.ua/laws/show/4651-17#n740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24.04.2020)</w:t>
      </w:r>
    </w:p>
    <w:p w14:paraId="533CA0BD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 України «Про Національну поліцію» від 02.07.2015 №580- VIІІ. Редакція від 01.01.2019.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FD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9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https://zakon.rada.gov.ua/laws/show/580-19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24.04.2020)</w:t>
      </w:r>
    </w:p>
    <w:p w14:paraId="57EF45E8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Положення «Про організацію діяльності органів досудового розслідування Національної поліції України». Затверджено наказом Міністерства внутрішніх справ України від 06.07.2017 №570.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FD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0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https://zakon.rada.gov.ua/laws/show/z0918-17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24.04.2020)</w:t>
      </w:r>
    </w:p>
    <w:p w14:paraId="1159A78E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 України «Про Службу безпеки України» від 25.03.1992 №2229-ХІІ. Редакція від 02.08.2019.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FD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1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https://zakon.rada.gov.ua/laws/show/2229-12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24.04.2020)</w:t>
      </w:r>
    </w:p>
    <w:p w14:paraId="377DB6FF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Постанова Кабінету Міністрів України «Про державну фіскальну службу» від 21.05.2014 №236. Редакція від 27.08.2016.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FD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2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https://zakon.rada.gov.ua/laws/show/236-2014-%D0%BF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24.04.2020)</w:t>
      </w:r>
    </w:p>
    <w:p w14:paraId="6CE22841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Закон України «Про Державне бюро розслідувань» від 12.11.2015 №794-VIII. Редакція від 28.08.2018.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FD2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3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https://zakon.rada.gov.ua/laws/show/794-19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24.04.2020)</w:t>
      </w:r>
    </w:p>
    <w:p w14:paraId="3B2F3ABA" w14:textId="77777777" w:rsidR="00D71842" w:rsidRDefault="00D71842" w:rsidP="00D7184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 України «Про Національне антикорупційне бюро України» від 14.10.2014 №2475-VIII. Редакція від 28.08.2018.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FD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4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https://zakon.rada.gov.ua/laws/show/1698-18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24.04.2020)</w:t>
      </w:r>
    </w:p>
    <w:p w14:paraId="1DECC7D1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 України « Про Державну кримінально-виконавчу службу України» від 23.06.2005 №2712-IV. Редакція від 01.01.2019.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</w:t>
      </w:r>
      <w:hyperlink r:id="rId15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https://zakon.rada.gov.ua/laws/show/2713-15?find=1&amp;text=%F0%EE%E7%F1%EB%B3%E4%F3%E2%E0%ED%ED%FF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24.04.2020)</w:t>
      </w:r>
    </w:p>
    <w:p w14:paraId="1FBA5307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Сакал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В.М. Правовий статус керівника органу досудового розслідування. Юридичний часопис Національної академії внутрішніх справ. №2 (10). 2015. С. 182-192.</w:t>
      </w:r>
    </w:p>
    <w:p w14:paraId="4A0FEC90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Бандурка О. М. Управління в органах внутрішніх справ України Х. 2005. С. 478.</w:t>
      </w:r>
    </w:p>
    <w:p w14:paraId="5FF332EB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Шемшученко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Ю. С. Юридична енциклопедія.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енцикл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., 2001. Т. 3. К–М. 2011. С. 792.</w:t>
      </w:r>
    </w:p>
    <w:p w14:paraId="0FF53CB6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Кабаченко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управления.Рос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пед. Агентство. 1997. С.323.</w:t>
      </w:r>
    </w:p>
    <w:p w14:paraId="4E26D5B4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Юридический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энциклопедический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словарь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Сов. энцикл.1984. С. 415.</w:t>
      </w:r>
    </w:p>
    <w:p w14:paraId="42E12E16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Бусел В. Т. Великий тлумачний словник сучасної української мови. ВТФ «Перун».2005. С. 1728.</w:t>
      </w:r>
    </w:p>
    <w:p w14:paraId="53B1D7B6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Бандурка О. М. Управління в органах внутрішніх справ України. Ун-т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внутр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Справ. 1998. С. 480.</w:t>
      </w:r>
    </w:p>
    <w:p w14:paraId="68AD3329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Савонюк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Ю. Слідчий як суб’єкт кримінально-процесуального доказування.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Автореф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 здобуття наук. ступеня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наук. Спец. 12.00.09 «Кримінальний процес і криміналістика; судова експертиза; оперативно-розшукова діяльність. К. 2001. С. 20.</w:t>
      </w:r>
    </w:p>
    <w:p w14:paraId="5790A820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Ізбаш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К. С. Теоретичні, організаційні та правові питання роботи з персоналом органів досудового слідства МВС України.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Ніканова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2011. –С. 218.</w:t>
      </w:r>
    </w:p>
    <w:p w14:paraId="638EB39B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Кіпер О.О. Процесуальна самостійність слідчого як гарантія всебічного, повного й неупередженого розслідування у кримінальному провадженні.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Автореф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наук. ступеня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наук. Спец. 12.00.09 «Кримінальний процес і криміналістика; судова експертиза; оперативно-розшукова діяльність. Одеса. 2017. С.20.</w:t>
      </w:r>
    </w:p>
    <w:p w14:paraId="748D354B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Петров В.О. Сучасний стан реформування законодавства щодо процесуальної самостійності слідчого.</w:t>
      </w:r>
    </w:p>
    <w:p w14:paraId="68428557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Кримінально-правове регулювання та забезпечення його ефективності. матеріали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міжнар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наук.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м. Харків, 18–19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жовт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2018 р. Право, 2018. С. 552.</w:t>
      </w:r>
    </w:p>
    <w:p w14:paraId="5B0247A0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 України «Про оперативно-розшукову діяльність» від 18.02.1992 №2135-ХІІ. Редакція від 02.08.2018.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D71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6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https://zakon.rada.gov.ua/laws/show/2135-12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24.04.2020)</w:t>
      </w:r>
    </w:p>
    <w:p w14:paraId="0182A9FC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Дем’янчук В.А.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Заявлення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відводу слідчому. Науковий вісник Ужгородського національного університету. Серія Право. Випуск 37. Т.3. 2016. С. 94-98.</w:t>
      </w:r>
    </w:p>
    <w:p w14:paraId="0CBFC865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Конвенція «Про захист прав людини і основоположних свобод» від 04.11.1950. Редакція від 02.10.2013.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D71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7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https://zakon.rada.gov.ua/laws/show/995_004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24.04.2020)</w:t>
      </w:r>
    </w:p>
    <w:p w14:paraId="347785BD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Європейський суд з прав людини. Справа «Мироненко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Мартенко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проти України». Рішення від 10 грудня 2009 року.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FD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8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https://zakon.rada.gov.ua/laws/show/974_567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24.04.2020)</w:t>
      </w:r>
    </w:p>
    <w:p w14:paraId="685267BB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Європейський суд з прав людини. Справа «Фей проти Австрії»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Fey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v.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Austria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Рішення від 24 лютого 1993 року.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FD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9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http://nsj.gov.ua/files/1456841818vut.pdf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24.04.2020)</w:t>
      </w:r>
    </w:p>
    <w:p w14:paraId="3C625EBE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Європейський суд з прав людини. Справа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Веттштайн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проти Швейцарії»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Wettstein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v.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Switzerland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Заява № 33958/96. ЄСПЛ 2000-XII.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FD2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20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http://nsj.gov.ua/files/1456841818vut.pdf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D2413">
        <w:rPr>
          <w:rFonts w:ascii="Times New Roman" w:eastAsia="Times New Roman" w:hAnsi="Times New Roman" w:cs="Times New Roman"/>
          <w:iCs/>
          <w:kern w:val="2"/>
          <w:sz w:val="28"/>
          <w:szCs w:val="28"/>
          <w:lang w:val="uk-UA"/>
        </w:rPr>
        <w:t>(дата звернення 24.04.2020)</w:t>
      </w:r>
    </w:p>
    <w:p w14:paraId="24D96D1A" w14:textId="77777777" w:rsidR="00D71842" w:rsidRDefault="00D71842" w:rsidP="00D71842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Європейський суд з прав людини. Справа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Пуллар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проти Сполученого Королівства»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Pullar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v.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United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Kingdom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Рішення від 10 червня 1996 року.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Reports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1996-III.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FD2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21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http://nsj.gov.ua/files/1456841818vut.pdf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D2413">
        <w:rPr>
          <w:rFonts w:ascii="Times New Roman" w:eastAsia="Times New Roman" w:hAnsi="Times New Roman" w:cs="Times New Roman"/>
          <w:iCs/>
          <w:kern w:val="2"/>
          <w:sz w:val="28"/>
          <w:szCs w:val="28"/>
          <w:lang w:val="uk-UA"/>
        </w:rPr>
        <w:t>(дата звернення 24.04.2020)</w:t>
      </w:r>
    </w:p>
    <w:p w14:paraId="5D6F8B38" w14:textId="3D15D44E" w:rsidR="002C044A" w:rsidRPr="00FD2413" w:rsidRDefault="00D71842" w:rsidP="00FD2413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Глинська Н.В. Стандарт неупередженості сторони обвинувачення в розумінні ч. 2 ст. 9 КПК України: значення та критерії. Вісник кримінального судочинства. №2. 2017. С. 25-32.</w:t>
      </w:r>
    </w:p>
    <w:sectPr w:rsidR="002C044A" w:rsidRPr="00FD2413" w:rsidSect="00CB391D">
      <w:headerReference w:type="default" r:id="rId22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C83A" w14:textId="77777777" w:rsidR="00FC470A" w:rsidRDefault="00FC470A" w:rsidP="00CB391D">
      <w:pPr>
        <w:spacing w:after="0" w:line="240" w:lineRule="auto"/>
      </w:pPr>
      <w:r>
        <w:separator/>
      </w:r>
    </w:p>
  </w:endnote>
  <w:endnote w:type="continuationSeparator" w:id="0">
    <w:p w14:paraId="6CA34DF2" w14:textId="77777777" w:rsidR="00FC470A" w:rsidRDefault="00FC470A" w:rsidP="00CB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CAD3" w14:textId="77777777" w:rsidR="00FC470A" w:rsidRDefault="00FC470A" w:rsidP="00CB391D">
      <w:pPr>
        <w:spacing w:after="0" w:line="240" w:lineRule="auto"/>
      </w:pPr>
      <w:r>
        <w:separator/>
      </w:r>
    </w:p>
  </w:footnote>
  <w:footnote w:type="continuationSeparator" w:id="0">
    <w:p w14:paraId="075111E1" w14:textId="77777777" w:rsidR="00FC470A" w:rsidRDefault="00FC470A" w:rsidP="00CB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723"/>
      <w:docPartObj>
        <w:docPartGallery w:val="Page Numbers (Top of Page)"/>
        <w:docPartUnique/>
      </w:docPartObj>
    </w:sdtPr>
    <w:sdtEndPr/>
    <w:sdtContent>
      <w:p w14:paraId="173FC657" w14:textId="77777777" w:rsidR="009B5908" w:rsidRDefault="00FC470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B5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4A8BAE5" w14:textId="77777777" w:rsidR="009B5908" w:rsidRDefault="009B59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2F72"/>
    <w:multiLevelType w:val="hybridMultilevel"/>
    <w:tmpl w:val="75A0DD44"/>
    <w:lvl w:ilvl="0" w:tplc="79C63C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16DE"/>
    <w:multiLevelType w:val="hybridMultilevel"/>
    <w:tmpl w:val="1A1863D2"/>
    <w:lvl w:ilvl="0" w:tplc="93AA613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4D743B"/>
    <w:multiLevelType w:val="hybridMultilevel"/>
    <w:tmpl w:val="8C20437C"/>
    <w:lvl w:ilvl="0" w:tplc="99282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F57E6"/>
    <w:multiLevelType w:val="hybridMultilevel"/>
    <w:tmpl w:val="03CA943C"/>
    <w:lvl w:ilvl="0" w:tplc="1A3A8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481EC0"/>
    <w:multiLevelType w:val="hybridMultilevel"/>
    <w:tmpl w:val="8460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15BE5"/>
    <w:multiLevelType w:val="hybridMultilevel"/>
    <w:tmpl w:val="AFBAED4C"/>
    <w:lvl w:ilvl="0" w:tplc="13CAB1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204D3A"/>
    <w:multiLevelType w:val="hybridMultilevel"/>
    <w:tmpl w:val="7D440BBE"/>
    <w:lvl w:ilvl="0" w:tplc="08F03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A96F58"/>
    <w:multiLevelType w:val="hybridMultilevel"/>
    <w:tmpl w:val="B2B07E6C"/>
    <w:lvl w:ilvl="0" w:tplc="99282E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B56A9A"/>
    <w:multiLevelType w:val="multilevel"/>
    <w:tmpl w:val="76B47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45433A"/>
    <w:multiLevelType w:val="hybridMultilevel"/>
    <w:tmpl w:val="76448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74A5F"/>
    <w:multiLevelType w:val="hybridMultilevel"/>
    <w:tmpl w:val="28B4F9A8"/>
    <w:lvl w:ilvl="0" w:tplc="8904FB6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104EAB"/>
    <w:multiLevelType w:val="hybridMultilevel"/>
    <w:tmpl w:val="F7A0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D3799"/>
    <w:multiLevelType w:val="hybridMultilevel"/>
    <w:tmpl w:val="E8FEE590"/>
    <w:lvl w:ilvl="0" w:tplc="4022EC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CA3"/>
    <w:rsid w:val="00001460"/>
    <w:rsid w:val="00021569"/>
    <w:rsid w:val="000253C7"/>
    <w:rsid w:val="0002631E"/>
    <w:rsid w:val="00032583"/>
    <w:rsid w:val="000354C8"/>
    <w:rsid w:val="00046040"/>
    <w:rsid w:val="0007473B"/>
    <w:rsid w:val="00075F07"/>
    <w:rsid w:val="000829E8"/>
    <w:rsid w:val="000B7157"/>
    <w:rsid w:val="000D3F41"/>
    <w:rsid w:val="000E05D6"/>
    <w:rsid w:val="000E3551"/>
    <w:rsid w:val="000E4CBF"/>
    <w:rsid w:val="000E7B0E"/>
    <w:rsid w:val="000F7F12"/>
    <w:rsid w:val="00110B34"/>
    <w:rsid w:val="00112978"/>
    <w:rsid w:val="00131C7A"/>
    <w:rsid w:val="001331F8"/>
    <w:rsid w:val="00133CA3"/>
    <w:rsid w:val="00155B83"/>
    <w:rsid w:val="001579C2"/>
    <w:rsid w:val="00195E49"/>
    <w:rsid w:val="001A2F8D"/>
    <w:rsid w:val="001F5F87"/>
    <w:rsid w:val="00200460"/>
    <w:rsid w:val="00205550"/>
    <w:rsid w:val="00213719"/>
    <w:rsid w:val="0023613D"/>
    <w:rsid w:val="0023647B"/>
    <w:rsid w:val="0025212D"/>
    <w:rsid w:val="0025645F"/>
    <w:rsid w:val="00277B1B"/>
    <w:rsid w:val="00293C07"/>
    <w:rsid w:val="002B2F4D"/>
    <w:rsid w:val="002C044A"/>
    <w:rsid w:val="002C0EA5"/>
    <w:rsid w:val="002E0A4D"/>
    <w:rsid w:val="002E327D"/>
    <w:rsid w:val="00304481"/>
    <w:rsid w:val="0030748B"/>
    <w:rsid w:val="003220DD"/>
    <w:rsid w:val="00326478"/>
    <w:rsid w:val="00330CB7"/>
    <w:rsid w:val="003503DB"/>
    <w:rsid w:val="0035601A"/>
    <w:rsid w:val="00372ED2"/>
    <w:rsid w:val="00377868"/>
    <w:rsid w:val="003837E0"/>
    <w:rsid w:val="003946C9"/>
    <w:rsid w:val="003B7B38"/>
    <w:rsid w:val="003D7A86"/>
    <w:rsid w:val="00403543"/>
    <w:rsid w:val="004176B4"/>
    <w:rsid w:val="0042128F"/>
    <w:rsid w:val="00424419"/>
    <w:rsid w:val="004318B3"/>
    <w:rsid w:val="00446801"/>
    <w:rsid w:val="0045140D"/>
    <w:rsid w:val="00460AF4"/>
    <w:rsid w:val="0046102A"/>
    <w:rsid w:val="00462FD7"/>
    <w:rsid w:val="00463883"/>
    <w:rsid w:val="0049616F"/>
    <w:rsid w:val="004B55A1"/>
    <w:rsid w:val="004B64DF"/>
    <w:rsid w:val="004B7D6B"/>
    <w:rsid w:val="004C3371"/>
    <w:rsid w:val="004C63B7"/>
    <w:rsid w:val="004E57A4"/>
    <w:rsid w:val="004F4152"/>
    <w:rsid w:val="004F4B56"/>
    <w:rsid w:val="00500FFF"/>
    <w:rsid w:val="00502A6B"/>
    <w:rsid w:val="0053062B"/>
    <w:rsid w:val="00553072"/>
    <w:rsid w:val="00563DE2"/>
    <w:rsid w:val="005652C8"/>
    <w:rsid w:val="00575265"/>
    <w:rsid w:val="00586D02"/>
    <w:rsid w:val="005955BF"/>
    <w:rsid w:val="005B0A73"/>
    <w:rsid w:val="005B568D"/>
    <w:rsid w:val="005D0527"/>
    <w:rsid w:val="005D5F80"/>
    <w:rsid w:val="005E1A3A"/>
    <w:rsid w:val="005F383B"/>
    <w:rsid w:val="00602B86"/>
    <w:rsid w:val="0062768C"/>
    <w:rsid w:val="00653658"/>
    <w:rsid w:val="00655105"/>
    <w:rsid w:val="00657B9D"/>
    <w:rsid w:val="0066001B"/>
    <w:rsid w:val="00681644"/>
    <w:rsid w:val="00693790"/>
    <w:rsid w:val="006949D2"/>
    <w:rsid w:val="00695980"/>
    <w:rsid w:val="006A345B"/>
    <w:rsid w:val="006A7F44"/>
    <w:rsid w:val="006B1411"/>
    <w:rsid w:val="006D112E"/>
    <w:rsid w:val="006E45E5"/>
    <w:rsid w:val="006E4D93"/>
    <w:rsid w:val="006F2CAB"/>
    <w:rsid w:val="007440B5"/>
    <w:rsid w:val="00747408"/>
    <w:rsid w:val="007717A7"/>
    <w:rsid w:val="00774BD6"/>
    <w:rsid w:val="0078620C"/>
    <w:rsid w:val="007A2E55"/>
    <w:rsid w:val="007B0ADC"/>
    <w:rsid w:val="007C1823"/>
    <w:rsid w:val="007E7D6D"/>
    <w:rsid w:val="007F12CF"/>
    <w:rsid w:val="0080383F"/>
    <w:rsid w:val="00814D49"/>
    <w:rsid w:val="008513B3"/>
    <w:rsid w:val="008543D1"/>
    <w:rsid w:val="00860FF6"/>
    <w:rsid w:val="00870468"/>
    <w:rsid w:val="00870D5E"/>
    <w:rsid w:val="00871224"/>
    <w:rsid w:val="00887BBA"/>
    <w:rsid w:val="00890500"/>
    <w:rsid w:val="008C0770"/>
    <w:rsid w:val="008C79EF"/>
    <w:rsid w:val="008D44BF"/>
    <w:rsid w:val="008E58C7"/>
    <w:rsid w:val="009105F5"/>
    <w:rsid w:val="0092234B"/>
    <w:rsid w:val="009269C4"/>
    <w:rsid w:val="00937393"/>
    <w:rsid w:val="00943A48"/>
    <w:rsid w:val="00946B78"/>
    <w:rsid w:val="00947B99"/>
    <w:rsid w:val="00956910"/>
    <w:rsid w:val="00987EEA"/>
    <w:rsid w:val="009930BA"/>
    <w:rsid w:val="00996ED7"/>
    <w:rsid w:val="009A3CF9"/>
    <w:rsid w:val="009A4468"/>
    <w:rsid w:val="009B5908"/>
    <w:rsid w:val="009C5109"/>
    <w:rsid w:val="009E1C46"/>
    <w:rsid w:val="009F0D42"/>
    <w:rsid w:val="00A04B24"/>
    <w:rsid w:val="00A560C8"/>
    <w:rsid w:val="00A903C7"/>
    <w:rsid w:val="00A97DBE"/>
    <w:rsid w:val="00AA07F9"/>
    <w:rsid w:val="00AA283A"/>
    <w:rsid w:val="00AA67DC"/>
    <w:rsid w:val="00AC06B0"/>
    <w:rsid w:val="00AC619E"/>
    <w:rsid w:val="00B03B6E"/>
    <w:rsid w:val="00B1488C"/>
    <w:rsid w:val="00B17FE7"/>
    <w:rsid w:val="00B21046"/>
    <w:rsid w:val="00B24171"/>
    <w:rsid w:val="00B343DB"/>
    <w:rsid w:val="00B36EA9"/>
    <w:rsid w:val="00B46645"/>
    <w:rsid w:val="00B57E7E"/>
    <w:rsid w:val="00B602D4"/>
    <w:rsid w:val="00B77C21"/>
    <w:rsid w:val="00B83F1F"/>
    <w:rsid w:val="00B85247"/>
    <w:rsid w:val="00B91615"/>
    <w:rsid w:val="00B94B77"/>
    <w:rsid w:val="00BB179B"/>
    <w:rsid w:val="00BF5C14"/>
    <w:rsid w:val="00C11B97"/>
    <w:rsid w:val="00C5609E"/>
    <w:rsid w:val="00C668C6"/>
    <w:rsid w:val="00C905BB"/>
    <w:rsid w:val="00CB391D"/>
    <w:rsid w:val="00CB6D3D"/>
    <w:rsid w:val="00CC064A"/>
    <w:rsid w:val="00CC5ADD"/>
    <w:rsid w:val="00CE2759"/>
    <w:rsid w:val="00CE5664"/>
    <w:rsid w:val="00CF488C"/>
    <w:rsid w:val="00CF68F4"/>
    <w:rsid w:val="00D0702D"/>
    <w:rsid w:val="00D348E9"/>
    <w:rsid w:val="00D63DC1"/>
    <w:rsid w:val="00D71842"/>
    <w:rsid w:val="00D9755F"/>
    <w:rsid w:val="00DC4287"/>
    <w:rsid w:val="00DC756D"/>
    <w:rsid w:val="00DD455B"/>
    <w:rsid w:val="00DD53D6"/>
    <w:rsid w:val="00DF5512"/>
    <w:rsid w:val="00E05957"/>
    <w:rsid w:val="00E302A9"/>
    <w:rsid w:val="00E3686E"/>
    <w:rsid w:val="00E45ACE"/>
    <w:rsid w:val="00E45B20"/>
    <w:rsid w:val="00E56C9A"/>
    <w:rsid w:val="00E57613"/>
    <w:rsid w:val="00E63E4B"/>
    <w:rsid w:val="00E703A3"/>
    <w:rsid w:val="00E7049E"/>
    <w:rsid w:val="00E85DAA"/>
    <w:rsid w:val="00EB0654"/>
    <w:rsid w:val="00EB1321"/>
    <w:rsid w:val="00EE0542"/>
    <w:rsid w:val="00F13EFD"/>
    <w:rsid w:val="00F14003"/>
    <w:rsid w:val="00F1625A"/>
    <w:rsid w:val="00F436AB"/>
    <w:rsid w:val="00F46B73"/>
    <w:rsid w:val="00FA08D5"/>
    <w:rsid w:val="00FA1081"/>
    <w:rsid w:val="00FB3087"/>
    <w:rsid w:val="00FB6EB0"/>
    <w:rsid w:val="00FC1643"/>
    <w:rsid w:val="00FC470A"/>
    <w:rsid w:val="00FC4DDE"/>
    <w:rsid w:val="00FC633C"/>
    <w:rsid w:val="00FD2413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F0C7"/>
  <w15:docId w15:val="{BB77F74C-DBD2-411E-BB02-93437AC0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91D"/>
  </w:style>
  <w:style w:type="paragraph" w:styleId="a6">
    <w:name w:val="footer"/>
    <w:basedOn w:val="a"/>
    <w:link w:val="a7"/>
    <w:uiPriority w:val="99"/>
    <w:semiHidden/>
    <w:unhideWhenUsed/>
    <w:rsid w:val="00CB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91D"/>
  </w:style>
  <w:style w:type="character" w:styleId="a8">
    <w:name w:val="Hyperlink"/>
    <w:basedOn w:val="a0"/>
    <w:uiPriority w:val="99"/>
    <w:semiHidden/>
    <w:unhideWhenUsed/>
    <w:rsid w:val="009A4468"/>
    <w:rPr>
      <w:color w:val="0000FF"/>
      <w:u w:val="single"/>
    </w:rPr>
  </w:style>
  <w:style w:type="paragraph" w:customStyle="1" w:styleId="rvps2">
    <w:name w:val="rvps2"/>
    <w:basedOn w:val="a"/>
    <w:rsid w:val="00E7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E703A3"/>
  </w:style>
  <w:style w:type="character" w:customStyle="1" w:styleId="rvts9">
    <w:name w:val="rvts9"/>
    <w:basedOn w:val="a0"/>
    <w:rsid w:val="00AA283A"/>
  </w:style>
  <w:style w:type="paragraph" w:styleId="HTML">
    <w:name w:val="HTML Preformatted"/>
    <w:basedOn w:val="a"/>
    <w:link w:val="HTML0"/>
    <w:uiPriority w:val="99"/>
    <w:semiHidden/>
    <w:unhideWhenUsed/>
    <w:rsid w:val="009C5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1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D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51-17" TargetMode="External"/><Relationship Id="rId13" Type="http://schemas.openxmlformats.org/officeDocument/2006/relationships/hyperlink" Target="https://zakon.rada.gov.ua/laws/show/794-19" TargetMode="External"/><Relationship Id="rId18" Type="http://schemas.openxmlformats.org/officeDocument/2006/relationships/hyperlink" Target="https://zakon.rada.gov.ua/laws/show/974_5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j.gov.ua/files/1456841818vut.pdf" TargetMode="External"/><Relationship Id="rId7" Type="http://schemas.openxmlformats.org/officeDocument/2006/relationships/hyperlink" Target="https://zakon.rada.gov.ua/laws/show/254%D0%BA/96-%D0%B2%D1%80?find=1&amp;text=%E4%EE%F1%F3%E4%EE%E2%EE%E3%EE" TargetMode="External"/><Relationship Id="rId12" Type="http://schemas.openxmlformats.org/officeDocument/2006/relationships/hyperlink" Target="https://zakon.rada.gov.ua/laws/show/236-2014-%D0%BF" TargetMode="External"/><Relationship Id="rId17" Type="http://schemas.openxmlformats.org/officeDocument/2006/relationships/hyperlink" Target="https://zakon.rada.gov.ua/laws/show/995_0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135-12" TargetMode="External"/><Relationship Id="rId20" Type="http://schemas.openxmlformats.org/officeDocument/2006/relationships/hyperlink" Target="http://nsj.gov.ua/files/1456841818vu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229-1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713-15?find=1&amp;text=%F0%EE%E7%F1%EB%B3%E4%F3%E2%E0%ED%ED%F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z0918-17" TargetMode="External"/><Relationship Id="rId19" Type="http://schemas.openxmlformats.org/officeDocument/2006/relationships/hyperlink" Target="http://nsj.gov.ua/files/1456841818vu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80-19" TargetMode="External"/><Relationship Id="rId14" Type="http://schemas.openxmlformats.org/officeDocument/2006/relationships/hyperlink" Target="https://zakon.rada.gov.ua/laws/show/1698-1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Дмитрий Смолярчук</cp:lastModifiedBy>
  <cp:revision>7</cp:revision>
  <dcterms:created xsi:type="dcterms:W3CDTF">2019-04-01T20:44:00Z</dcterms:created>
  <dcterms:modified xsi:type="dcterms:W3CDTF">2020-04-24T14:13:00Z</dcterms:modified>
</cp:coreProperties>
</file>