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EDAD" w14:textId="77777777" w:rsidR="00D03094" w:rsidRDefault="00D03094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C96CDEE" w14:textId="77777777" w:rsidR="00A530EF" w:rsidRDefault="00A530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ЗМІСТ</w:t>
      </w:r>
    </w:p>
    <w:p w14:paraId="0066F344" w14:textId="77777777" w:rsidR="00A530EF" w:rsidRPr="0067123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88F15FA" w14:textId="77777777" w:rsidR="00A530EF" w:rsidRPr="0067123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4AD9FB" w14:textId="77777777" w:rsidR="00A530EF" w:rsidRPr="0067123F" w:rsidRDefault="00A530EF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2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F0589">
        <w:rPr>
          <w:rFonts w:ascii="Times New Roman" w:hAnsi="Times New Roman" w:cs="Times New Roman"/>
          <w:sz w:val="28"/>
          <w:szCs w:val="28"/>
          <w:lang w:val="uk-UA"/>
        </w:rPr>
        <w:t>ступ</w:t>
      </w:r>
      <w:r w:rsidRPr="0067123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………………………………………………………………….…..……</w:t>
      </w:r>
      <w:r w:rsidRPr="00E044E0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3F0589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F544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7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99694F" w14:textId="77777777" w:rsidR="00A530EF" w:rsidRPr="008307EA" w:rsidRDefault="003F0589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Загальна характеристика недопустимості розголошення відомостей досудового розслідування</w:t>
      </w:r>
      <w:r w:rsidR="00284D4E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 w:rsidR="00C67B81">
        <w:rPr>
          <w:rFonts w:ascii="Times New Roman" w:hAnsi="Times New Roman" w:cs="Times New Roman"/>
          <w:sz w:val="28"/>
          <w:szCs w:val="28"/>
          <w:lang w:val="uk-UA"/>
        </w:rPr>
        <w:t>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……………………………...</w:t>
      </w:r>
      <w:r w:rsidR="00F5444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7669E56C" w14:textId="77777777" w:rsidR="00DF2608" w:rsidRDefault="003F0589" w:rsidP="00A530E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Процесуальний порядок забезпечення гарантій нерозголошення відомостей досудового </w:t>
      </w:r>
      <w:r w:rsidR="000C4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B4F">
        <w:rPr>
          <w:rFonts w:ascii="Times New Roman" w:hAnsi="Times New Roman" w:cs="Times New Roman"/>
          <w:sz w:val="28"/>
          <w:szCs w:val="28"/>
          <w:lang w:val="uk-UA"/>
        </w:rPr>
        <w:t>розслідування</w:t>
      </w:r>
      <w:r w:rsidR="000C4A0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</w:t>
      </w:r>
      <w:r w:rsidR="00C108B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33D3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57934576" w14:textId="77777777" w:rsidR="00DF2608" w:rsidRDefault="000C4A08" w:rsidP="00284D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Нерозголошення відомостей досудового розслідування в практиці європейських держав</w:t>
      </w:r>
      <w:r w:rsidR="00DF2608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C67B81">
        <w:rPr>
          <w:rFonts w:ascii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</w:t>
      </w:r>
      <w:r w:rsidR="00284D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44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3D3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7DCA8FE" w14:textId="77777777" w:rsidR="00A530EF" w:rsidRPr="0007638C" w:rsidRDefault="00A530EF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0C4A08">
        <w:rPr>
          <w:rFonts w:ascii="Times New Roman" w:hAnsi="Times New Roman" w:cs="Times New Roman"/>
          <w:sz w:val="28"/>
          <w:szCs w:val="28"/>
          <w:lang w:val="uk-UA"/>
        </w:rPr>
        <w:t>исновки</w:t>
      </w:r>
      <w:proofErr w:type="spellEnd"/>
      <w:r w:rsidRPr="00E044E0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Pr="00E044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044E0">
        <w:rPr>
          <w:rFonts w:ascii="Times New Roman" w:hAnsi="Times New Roman" w:cs="Times New Roman"/>
          <w:sz w:val="28"/>
          <w:szCs w:val="28"/>
        </w:rPr>
        <w:t>………………………</w:t>
      </w:r>
      <w:r w:rsidRPr="00E044E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0C4A08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C108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3D31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774BEC0A" w14:textId="77777777" w:rsidR="00A530EF" w:rsidRPr="00910001" w:rsidRDefault="000C4A08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джерел………….</w:t>
      </w:r>
      <w:r w:rsidR="00A530EF" w:rsidRPr="00E044E0">
        <w:rPr>
          <w:rFonts w:ascii="Times New Roman" w:hAnsi="Times New Roman" w:cs="Times New Roman"/>
          <w:sz w:val="28"/>
          <w:szCs w:val="28"/>
        </w:rPr>
        <w:t>………………………..……………</w:t>
      </w:r>
      <w:r w:rsidR="00A530EF" w:rsidRPr="00E044E0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F544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33D31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6AB3EAF" w14:textId="77777777" w:rsidR="00A530EF" w:rsidRPr="009F6AD2" w:rsidRDefault="00A530EF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908D93" w14:textId="77777777" w:rsidR="00A530EF" w:rsidRDefault="00A530EF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E941D9D" w14:textId="77777777" w:rsidR="00EF1AFD" w:rsidRDefault="00EF1AFD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340E85F" w14:textId="77777777" w:rsidR="00EF1AFD" w:rsidRDefault="00EF1AFD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C1F8AA3" w14:textId="77777777" w:rsidR="00EF1AFD" w:rsidRDefault="00EF1AFD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1164817" w14:textId="77777777" w:rsidR="0067123F" w:rsidRDefault="0067123F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ED848A9" w14:textId="77777777" w:rsidR="003065E3" w:rsidRDefault="003065E3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A685EF9" w14:textId="77777777" w:rsidR="003259B1" w:rsidRDefault="003259B1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1106B1E" w14:textId="77777777" w:rsidR="003259B1" w:rsidRDefault="003259B1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DEA56FC" w14:textId="77777777" w:rsidR="00DD259C" w:rsidRDefault="00DD259C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217C967" w14:textId="77777777" w:rsidR="00DD259C" w:rsidRDefault="00DD259C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59655AD" w14:textId="77777777" w:rsidR="00DD259C" w:rsidRDefault="00DD259C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3619ED9" w14:textId="77777777" w:rsidR="00DD259C" w:rsidRDefault="00DD259C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317ABDF" w14:textId="77777777" w:rsidR="00DD259C" w:rsidRDefault="00DD259C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E2956F6" w14:textId="77777777" w:rsidR="00DD259C" w:rsidRDefault="00DD259C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2FA0A1C" w14:textId="77777777" w:rsidR="00DD259C" w:rsidRDefault="00DD259C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D62BFD7" w14:textId="77777777" w:rsidR="00DD259C" w:rsidRDefault="00DD259C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0669C0E" w14:textId="77777777" w:rsidR="00DD259C" w:rsidRDefault="00DD259C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0C1D3AD" w14:textId="38F67D43" w:rsidR="00A530EF" w:rsidRDefault="00A530EF" w:rsidP="00C1621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06D10">
        <w:rPr>
          <w:rFonts w:ascii="Times New Roman" w:hAnsi="Times New Roman"/>
          <w:b/>
          <w:color w:val="000000"/>
          <w:sz w:val="28"/>
          <w:szCs w:val="28"/>
          <w:lang w:val="uk-UA"/>
        </w:rPr>
        <w:t>ВСТУП</w:t>
      </w:r>
    </w:p>
    <w:p w14:paraId="56E2880F" w14:textId="77777777" w:rsidR="00D3700D" w:rsidRDefault="00D3700D" w:rsidP="00A530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6659760" w14:textId="4C384350" w:rsidR="00331763" w:rsidRPr="00177F03" w:rsidRDefault="00A530EF" w:rsidP="006D76DF">
      <w:pPr>
        <w:pStyle w:val="a3"/>
        <w:spacing w:line="360" w:lineRule="auto"/>
        <w:ind w:firstLine="567"/>
        <w:jc w:val="both"/>
        <w:rPr>
          <w:rStyle w:val="20"/>
          <w:rFonts w:eastAsiaTheme="minorEastAsia"/>
          <w:color w:val="auto"/>
          <w:sz w:val="28"/>
          <w:szCs w:val="28"/>
          <w:lang w:val="ru-RU" w:eastAsia="ru-RU" w:bidi="ar-SA"/>
        </w:rPr>
      </w:pPr>
      <w:proofErr w:type="spellStart"/>
      <w:r w:rsidRPr="00177F03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177F03">
        <w:rPr>
          <w:rFonts w:ascii="Times New Roman" w:hAnsi="Times New Roman" w:cs="Times New Roman"/>
          <w:b/>
          <w:sz w:val="28"/>
          <w:szCs w:val="28"/>
        </w:rPr>
        <w:t xml:space="preserve"> теми.</w:t>
      </w:r>
      <w:r w:rsidRPr="001023C2"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правам, свободам і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законним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, стати на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заваді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25" w:rsidRPr="00363025">
        <w:rPr>
          <w:rFonts w:ascii="Times New Roman" w:hAnsi="Times New Roman" w:cs="Times New Roman"/>
          <w:sz w:val="28"/>
          <w:szCs w:val="28"/>
        </w:rPr>
        <w:t>доказуванню</w:t>
      </w:r>
      <w:proofErr w:type="spellEnd"/>
      <w:r w:rsidR="00363025" w:rsidRPr="00363025">
        <w:rPr>
          <w:rFonts w:ascii="Times New Roman" w:hAnsi="Times New Roman" w:cs="Times New Roman"/>
          <w:sz w:val="28"/>
          <w:szCs w:val="28"/>
        </w:rPr>
        <w:t xml:space="preserve"> </w:t>
      </w:r>
      <w:r w:rsidR="006D76DF">
        <w:rPr>
          <w:rFonts w:ascii="Times New Roman" w:hAnsi="Times New Roman" w:cs="Times New Roman"/>
          <w:sz w:val="28"/>
          <w:szCs w:val="28"/>
        </w:rPr>
        <w:t>….</w:t>
      </w:r>
    </w:p>
    <w:p w14:paraId="626D37B5" w14:textId="6FEE91C6" w:rsidR="00570DF5" w:rsidRDefault="006E24C2" w:rsidP="004855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вивчення питань </w:t>
      </w:r>
      <w:r w:rsidR="0048558E">
        <w:rPr>
          <w:rFonts w:ascii="Times New Roman" w:hAnsi="Times New Roman" w:cs="Times New Roman"/>
          <w:sz w:val="28"/>
          <w:szCs w:val="28"/>
          <w:lang w:val="uk-UA"/>
        </w:rPr>
        <w:t xml:space="preserve">сутності нерозголошення відомостей досудового розслідування, кримінально-процесуальних гарантій нерозголошення, </w:t>
      </w:r>
      <w:r w:rsidR="006D76DF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12FF01EF" w14:textId="4F42663E" w:rsidR="00A530EF" w:rsidRDefault="00A530EF" w:rsidP="00570DF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Метою даної роботи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6D76DF">
        <w:rPr>
          <w:rFonts w:ascii="Times New Roman" w:hAnsi="Times New Roman"/>
          <w:sz w:val="28"/>
          <w:szCs w:val="28"/>
          <w:lang w:val="uk-UA"/>
        </w:rPr>
        <w:t>…</w:t>
      </w:r>
    </w:p>
    <w:p w14:paraId="5BF9E5DF" w14:textId="77777777" w:rsidR="00A530EF" w:rsidRDefault="00A530EF" w:rsidP="00A530EF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0738">
        <w:rPr>
          <w:rFonts w:ascii="Times New Roman" w:hAnsi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/>
          <w:b/>
          <w:sz w:val="28"/>
          <w:szCs w:val="28"/>
          <w:lang w:val="uk-UA"/>
        </w:rPr>
        <w:t>завдань:</w:t>
      </w:r>
    </w:p>
    <w:p w14:paraId="71B8E678" w14:textId="74C49A2F" w:rsidR="0048558E" w:rsidRDefault="006D76DF" w:rsidP="003A2E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….</w:t>
      </w:r>
    </w:p>
    <w:p w14:paraId="5D6E8B12" w14:textId="18CF4DE2" w:rsidR="00A530EF" w:rsidRPr="00D6218D" w:rsidRDefault="00A530EF" w:rsidP="00A530E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курсової </w:t>
      </w:r>
      <w:r w:rsidR="006D76DF">
        <w:rPr>
          <w:rFonts w:ascii="Times New Roman" w:hAnsi="Times New Roman"/>
          <w:sz w:val="28"/>
          <w:szCs w:val="28"/>
          <w:lang w:val="uk-UA"/>
        </w:rPr>
        <w:t>…</w:t>
      </w:r>
    </w:p>
    <w:p w14:paraId="74DA0694" w14:textId="47E1126E" w:rsidR="00A530EF" w:rsidRPr="00B3762E" w:rsidRDefault="00A530EF" w:rsidP="00A530E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курсової </w:t>
      </w:r>
      <w:r w:rsidR="006D76DF">
        <w:rPr>
          <w:rFonts w:ascii="Times New Roman" w:hAnsi="Times New Roman"/>
          <w:sz w:val="28"/>
          <w:szCs w:val="28"/>
          <w:lang w:val="uk-UA"/>
        </w:rPr>
        <w:t>…</w:t>
      </w:r>
    </w:p>
    <w:p w14:paraId="29E57BED" w14:textId="38CA0E34" w:rsidR="0061606E" w:rsidRDefault="00A530EF" w:rsidP="006D76D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</w:t>
      </w:r>
      <w:r w:rsidRPr="00A81890">
        <w:rPr>
          <w:rFonts w:ascii="Times New Roman" w:hAnsi="Times New Roman"/>
          <w:b/>
          <w:bCs/>
          <w:iCs/>
          <w:sz w:val="28"/>
          <w:szCs w:val="28"/>
          <w:lang w:val="uk-UA"/>
        </w:rPr>
        <w:t>и</w:t>
      </w: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190738">
        <w:rPr>
          <w:rFonts w:ascii="Times New Roman" w:hAnsi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76DF">
        <w:rPr>
          <w:rFonts w:ascii="Times New Roman" w:hAnsi="Times New Roman"/>
          <w:sz w:val="28"/>
          <w:szCs w:val="28"/>
          <w:lang w:val="uk-UA"/>
        </w:rPr>
        <w:t>…</w:t>
      </w:r>
      <w:r w:rsidR="0061606E">
        <w:rPr>
          <w:rFonts w:ascii="Times New Roman" w:hAnsi="Times New Roman" w:cs="Times New Roman"/>
          <w:sz w:val="28"/>
          <w:szCs w:val="28"/>
          <w:lang w:val="uk-UA"/>
        </w:rPr>
        <w:t xml:space="preserve"> держав</w:t>
      </w:r>
      <w:r w:rsidR="0061606E" w:rsidRPr="0019073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3D00A16" w14:textId="77777777" w:rsidR="00A530EF" w:rsidRDefault="00A530EF" w:rsidP="00A530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362484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41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4BA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14:paraId="3F1FE9C6" w14:textId="77777777" w:rsidR="0048558E" w:rsidRDefault="0048558E" w:rsidP="00A530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582D77" w14:textId="77777777" w:rsidR="00DB29EE" w:rsidRPr="00DB29EE" w:rsidRDefault="00DB29EE" w:rsidP="00DB29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9EE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</w:p>
    <w:p w14:paraId="3FD51495" w14:textId="77777777" w:rsidR="00DB29EE" w:rsidRPr="00DB29EE" w:rsidRDefault="005A2B4F" w:rsidP="00DB29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</w:t>
      </w:r>
      <w:r w:rsidR="00DB29EE" w:rsidRPr="00DB29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НЕДОПУСТИМОСТІ РОЗГОЛОШЕННЯ ВІДОМОСТЕЙ </w:t>
      </w:r>
      <w:r w:rsidR="00DB29EE" w:rsidRPr="00DB29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ДОСУДОВОГО РОЗСЛІДУВАННЯ</w:t>
      </w:r>
    </w:p>
    <w:p w14:paraId="6C83769C" w14:textId="77777777" w:rsidR="00CA339E" w:rsidRDefault="00CA339E" w:rsidP="00DB29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6A40C0" w14:textId="77777777" w:rsidR="0061606E" w:rsidRDefault="0061606E" w:rsidP="00DB29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1ABA205" w14:textId="696646A0" w:rsidR="00615089" w:rsidRPr="00615089" w:rsidRDefault="00615089" w:rsidP="006D76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089">
        <w:rPr>
          <w:rFonts w:ascii="Times New Roman" w:hAnsi="Times New Roman" w:cs="Times New Roman"/>
          <w:sz w:val="28"/>
          <w:szCs w:val="28"/>
          <w:lang w:val="uk-UA"/>
        </w:rPr>
        <w:t xml:space="preserve">Досудове розслідування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15089">
        <w:rPr>
          <w:rFonts w:ascii="Times New Roman" w:hAnsi="Times New Roman" w:cs="Times New Roman"/>
          <w:sz w:val="28"/>
          <w:szCs w:val="28"/>
          <w:lang w:val="uk-UA"/>
        </w:rPr>
        <w:t xml:space="preserve"> перша стадія кримінального провадження, яка починається з моменту внесення в</w:t>
      </w:r>
      <w:r>
        <w:rPr>
          <w:rFonts w:ascii="Times New Roman" w:hAnsi="Times New Roman" w:cs="Times New Roman"/>
          <w:sz w:val="28"/>
          <w:szCs w:val="28"/>
          <w:lang w:val="uk-UA"/>
        </w:rPr>
        <w:t>ідомостей про кримінальне право</w:t>
      </w:r>
      <w:r w:rsidRPr="00615089">
        <w:rPr>
          <w:rFonts w:ascii="Times New Roman" w:hAnsi="Times New Roman" w:cs="Times New Roman"/>
          <w:sz w:val="28"/>
          <w:szCs w:val="28"/>
          <w:lang w:val="uk-UA"/>
        </w:rPr>
        <w:t>порушення до Єдиного реєстру досу</w:t>
      </w:r>
      <w:r>
        <w:rPr>
          <w:rFonts w:ascii="Times New Roman" w:hAnsi="Times New Roman" w:cs="Times New Roman"/>
          <w:sz w:val="28"/>
          <w:szCs w:val="28"/>
          <w:lang w:val="uk-UA"/>
        </w:rPr>
        <w:t>дових розслідувань</w:t>
      </w:r>
      <w:r w:rsidRPr="00615089">
        <w:rPr>
          <w:rFonts w:ascii="Times New Roman" w:hAnsi="Times New Roman" w:cs="Times New Roman"/>
          <w:sz w:val="28"/>
          <w:szCs w:val="28"/>
          <w:lang w:val="uk-UA"/>
        </w:rPr>
        <w:t xml:space="preserve"> і закінчується однією з форм визначених ч</w:t>
      </w:r>
      <w:r>
        <w:rPr>
          <w:rFonts w:ascii="Times New Roman" w:hAnsi="Times New Roman" w:cs="Times New Roman"/>
          <w:sz w:val="28"/>
          <w:szCs w:val="28"/>
          <w:lang w:val="uk-UA"/>
        </w:rPr>
        <w:t>. 2</w:t>
      </w:r>
      <w:r w:rsidRPr="00615089">
        <w:rPr>
          <w:rFonts w:ascii="Times New Roman" w:hAnsi="Times New Roman" w:cs="Times New Roman"/>
          <w:sz w:val="28"/>
          <w:szCs w:val="28"/>
          <w:lang w:val="uk-UA"/>
        </w:rPr>
        <w:t xml:space="preserve"> ст. 283 К</w:t>
      </w:r>
      <w:r>
        <w:rPr>
          <w:rFonts w:ascii="Times New Roman" w:hAnsi="Times New Roman" w:cs="Times New Roman"/>
          <w:sz w:val="28"/>
          <w:szCs w:val="28"/>
          <w:lang w:val="uk-UA"/>
        </w:rPr>
        <w:t>римінального процесуального кодексу</w:t>
      </w:r>
      <w:r w:rsidRPr="0061508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КПК України): 1) за</w:t>
      </w:r>
      <w:r w:rsidRPr="00615089">
        <w:rPr>
          <w:rFonts w:ascii="Times New Roman" w:hAnsi="Times New Roman" w:cs="Times New Roman"/>
          <w:sz w:val="28"/>
          <w:szCs w:val="28"/>
          <w:lang w:val="uk-UA"/>
        </w:rPr>
        <w:t xml:space="preserve">крити кримінальне провадження; 2) звернутися до суду з </w:t>
      </w:r>
      <w:r w:rsidR="006D76DF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spellStart"/>
      <w:r w:rsidRPr="006D76DF">
        <w:rPr>
          <w:rFonts w:ascii="Times New Roman" w:hAnsi="Times New Roman" w:cs="Times New Roman"/>
          <w:sz w:val="28"/>
          <w:szCs w:val="28"/>
          <w:lang w:val="uk-UA"/>
        </w:rPr>
        <w:t>мінального</w:t>
      </w:r>
      <w:proofErr w:type="spellEnd"/>
      <w:r w:rsidRPr="006D76DF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правопорушення та особи, яка його вчинила</w:t>
      </w:r>
      <w:r w:rsidR="00C34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BA4" w:rsidRPr="006D76D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34BA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4BA4" w:rsidRPr="006D76D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6D76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8C8DB5" w14:textId="2716F497" w:rsidR="0061606E" w:rsidRDefault="0061606E" w:rsidP="006D76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6D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  КПК України завданнями кримінального провадження є захист особи, суспільства та держави від кримінальних правопорушень, охорона прав, свобод та законних інтересів учасників кримінального провадження, а також забезпечення швидкого, повного та неупередженого розслідування і судового розгляду з тим, щоб кожний, хто вчинив кримінальне правопорушення, був притягнутий до відповідальності в міру своєї вини, жоден невинуватий не був обвинувачений або засуджений, жодна особа не була піддана необґрунтованому </w:t>
      </w:r>
      <w:r w:rsidR="006D76DF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C108B0">
        <w:rPr>
          <w:rFonts w:ascii="Times New Roman" w:hAnsi="Times New Roman" w:cs="Times New Roman"/>
          <w:sz w:val="28"/>
          <w:szCs w:val="28"/>
          <w:lang w:val="uk-UA"/>
        </w:rPr>
        <w:t xml:space="preserve"> в розкритті, велике значення слід надавати інтересам правосуддя, і що суддя повинен продовжувати оцінювати необхідність розкриття протягом усього судового розгляду» [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4BA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108B0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5D253B0F" w14:textId="77777777" w:rsidR="0061606E" w:rsidRDefault="0061606E" w:rsidP="0061606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суд у судовому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вирішуватиме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пропорційність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заборони заступу до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та права на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сторонами та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D1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Pr="008536D1">
        <w:rPr>
          <w:rFonts w:ascii="Times New Roman" w:hAnsi="Times New Roman" w:cs="Times New Roman"/>
          <w:sz w:val="28"/>
          <w:szCs w:val="28"/>
        </w:rPr>
        <w:t>.</w:t>
      </w:r>
    </w:p>
    <w:p w14:paraId="78579446" w14:textId="03DA6C7E" w:rsidR="0061606E" w:rsidRPr="00F43ACD" w:rsidRDefault="0061606E" w:rsidP="0061606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C2B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6D76DF">
        <w:rPr>
          <w:rFonts w:ascii="Times New Roman" w:hAnsi="Times New Roman" w:cs="Times New Roman"/>
          <w:sz w:val="28"/>
          <w:szCs w:val="28"/>
        </w:rPr>
        <w:t>…</w:t>
      </w:r>
    </w:p>
    <w:p w14:paraId="52E03BDD" w14:textId="77777777" w:rsidR="005A2B4F" w:rsidRDefault="005A2B4F" w:rsidP="005A2B4F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2</w:t>
      </w:r>
    </w:p>
    <w:p w14:paraId="7F655FA1" w14:textId="77777777" w:rsidR="005A2B4F" w:rsidRDefault="005A2B4F" w:rsidP="005A2B4F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ПРОЦЕСУАЛЬНИЙ ПОРЯДОК ЗАБЕЗПЕЧЕННЯ ГАРАНТІЙ НЕРОЗГОЛОШЕННЯ ВІДОМОСТЕЙ ДОСУДОВОГО  РОЗСЛІДУВАННЯ</w:t>
      </w:r>
    </w:p>
    <w:p w14:paraId="6F12953A" w14:textId="77777777" w:rsidR="005A2B4F" w:rsidRDefault="005A2B4F" w:rsidP="00DB29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6F3C815" w14:textId="77777777" w:rsidR="0061606E" w:rsidRDefault="0061606E" w:rsidP="00DB29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09709DE" w14:textId="27567B86" w:rsidR="008569CC" w:rsidRDefault="006D76DF" w:rsidP="006160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8569CC" w:rsidRPr="008569CC">
        <w:rPr>
          <w:rFonts w:ascii="Times New Roman" w:hAnsi="Times New Roman" w:cs="Times New Roman"/>
          <w:sz w:val="28"/>
          <w:szCs w:val="28"/>
          <w:lang w:val="uk-UA"/>
        </w:rPr>
        <w:t>и цьому слідчий, прокурор повинні обов’язково визначити, які відомості (дані) і у якому обсязі можна розголосити, з урахуванням можливого настання негативних наслідків, оскільки чинним законом межі розголошення ві</w:t>
      </w:r>
      <w:r w:rsidR="00C34BA4">
        <w:rPr>
          <w:rFonts w:ascii="Times New Roman" w:hAnsi="Times New Roman" w:cs="Times New Roman"/>
          <w:sz w:val="28"/>
          <w:szCs w:val="28"/>
          <w:lang w:val="uk-UA"/>
        </w:rPr>
        <w:t>домостей не встановлені [2</w:t>
      </w:r>
      <w:r w:rsidR="008569CC" w:rsidRPr="008569C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36592F54" w14:textId="28E26AEF" w:rsidR="002A2D22" w:rsidRPr="002A2D22" w:rsidRDefault="008569CC" w:rsidP="006D76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69CC">
        <w:rPr>
          <w:rFonts w:ascii="Times New Roman" w:hAnsi="Times New Roman" w:cs="Times New Roman"/>
          <w:sz w:val="28"/>
          <w:szCs w:val="28"/>
        </w:rPr>
        <w:t>Розголошення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, таким чином,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уповноваженою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, та за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lastRenderedPageBreak/>
        <w:t>розголошення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69CC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8569CC">
        <w:rPr>
          <w:rFonts w:ascii="Times New Roman" w:hAnsi="Times New Roman" w:cs="Times New Roman"/>
          <w:sz w:val="28"/>
          <w:szCs w:val="28"/>
        </w:rPr>
        <w:t xml:space="preserve"> прав і </w:t>
      </w:r>
      <w:r w:rsidR="006D76DF">
        <w:rPr>
          <w:rFonts w:ascii="Times New Roman" w:hAnsi="Times New Roman" w:cs="Times New Roman"/>
          <w:sz w:val="28"/>
          <w:szCs w:val="28"/>
        </w:rPr>
        <w:t>….</w:t>
      </w:r>
    </w:p>
    <w:p w14:paraId="167969A8" w14:textId="6D829C2A" w:rsidR="002A2D22" w:rsidRPr="002A2D22" w:rsidRDefault="002A2D22" w:rsidP="002A2D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D2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A2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A2D22">
        <w:rPr>
          <w:rFonts w:ascii="Times New Roman" w:hAnsi="Times New Roman" w:cs="Times New Roman"/>
          <w:sz w:val="28"/>
          <w:szCs w:val="28"/>
          <w:lang w:val="uk-UA"/>
        </w:rPr>
        <w:t xml:space="preserve">алежно від змісту таємниці слідства: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2D22">
        <w:rPr>
          <w:rFonts w:ascii="Times New Roman" w:hAnsi="Times New Roman" w:cs="Times New Roman"/>
          <w:sz w:val="28"/>
          <w:szCs w:val="28"/>
          <w:lang w:val="uk-UA"/>
        </w:rPr>
        <w:t xml:space="preserve">) відомості про особу, місце проживання та інші ідентифікуючі ознаки учасників розслідування: працівників правоохоронних органів, які брали участь в розслідуванні, працівників органу дізнання, слідчих, прокурорів, експертів і спеціалістів; про родичів і близьких працівників правоохоронних органів, що брали участь в розслідуванні; окремих учасників попереднього розслідування (свідків, потерпілих, підозрюваних, обвинувачених та ін.); про родичів та інших близьких учасників кримінального процесу, які не є працівниками правоохоронних органів;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2D22">
        <w:rPr>
          <w:rFonts w:ascii="Times New Roman" w:hAnsi="Times New Roman" w:cs="Times New Roman"/>
          <w:sz w:val="28"/>
          <w:szCs w:val="28"/>
          <w:lang w:val="uk-UA"/>
        </w:rPr>
        <w:t xml:space="preserve">) відомості про заходи забезпечення безпеки учасників розслідування;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2D22">
        <w:rPr>
          <w:rFonts w:ascii="Times New Roman" w:hAnsi="Times New Roman" w:cs="Times New Roman"/>
          <w:sz w:val="28"/>
          <w:szCs w:val="28"/>
          <w:lang w:val="uk-UA"/>
        </w:rPr>
        <w:t>) відомості, що відображають стратегію і тактику розслідування [</w:t>
      </w:r>
      <w:r w:rsidRPr="00C34B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4BA4" w:rsidRPr="00C34BA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34BA4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C34BA4" w:rsidRPr="00C34B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34BA4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2A2D22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6D76D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6354B03" w14:textId="52AA661D" w:rsidR="0061606E" w:rsidRDefault="0061606E" w:rsidP="006D76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952">
        <w:rPr>
          <w:rFonts w:ascii="Times New Roman" w:hAnsi="Times New Roman" w:cs="Times New Roman"/>
          <w:sz w:val="28"/>
          <w:szCs w:val="28"/>
          <w:lang w:val="uk-UA"/>
        </w:rPr>
        <w:t>Як і будь-який кримінальний процесуальний інститут, правові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952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6D76DF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14:paraId="1B655A1E" w14:textId="70F86CC9" w:rsidR="005A2B4F" w:rsidRDefault="0061606E" w:rsidP="006D76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3139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76D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A3EE87F" w14:textId="77777777" w:rsidR="005A2B4F" w:rsidRDefault="005A2B4F" w:rsidP="005A2B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6A216E" w14:textId="77777777" w:rsidR="005A2B4F" w:rsidRDefault="005A2B4F" w:rsidP="005A2B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917C3C" w14:textId="77777777" w:rsidR="005A2B4F" w:rsidRDefault="005A2B4F" w:rsidP="005A2B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57ECA0" w14:textId="77777777" w:rsidR="005A2B4F" w:rsidRDefault="005A2B4F" w:rsidP="005A2B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1DA65F" w14:textId="77777777" w:rsidR="005A2B4F" w:rsidRDefault="005A2B4F" w:rsidP="005A2B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8441E3" w14:textId="77777777" w:rsidR="005A2B4F" w:rsidRDefault="005A2B4F" w:rsidP="005A2B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E05DDB" w14:textId="77777777" w:rsidR="005A2B4F" w:rsidRDefault="005A2B4F" w:rsidP="005A2B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7D83D5" w14:textId="77777777" w:rsidR="005A2B4F" w:rsidRPr="005A2B4F" w:rsidRDefault="005A2B4F" w:rsidP="005A2B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B4F">
        <w:rPr>
          <w:rFonts w:ascii="Times New Roman" w:hAnsi="Times New Roman" w:cs="Times New Roman"/>
          <w:b/>
          <w:sz w:val="28"/>
          <w:szCs w:val="28"/>
          <w:lang w:val="uk-UA"/>
        </w:rPr>
        <w:t>РОЗДІЛ 3</w:t>
      </w:r>
    </w:p>
    <w:p w14:paraId="48376FB3" w14:textId="77777777" w:rsidR="005A2B4F" w:rsidRPr="005A2B4F" w:rsidRDefault="005A2B4F" w:rsidP="005A2B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B4F">
        <w:rPr>
          <w:rFonts w:ascii="Times New Roman" w:hAnsi="Times New Roman" w:cs="Times New Roman"/>
          <w:b/>
          <w:sz w:val="28"/>
          <w:szCs w:val="28"/>
          <w:lang w:val="uk-UA"/>
        </w:rPr>
        <w:t>НЕРОЗГОЛОШЕННЯ ВІДОМОСТЕЙ ДОСУДОВОГО РОЗСЛІДУВАННЯ В ПРАКТИЦІ ЄВРОПЕЙСЬКИХ ДЕРЖАВ</w:t>
      </w:r>
    </w:p>
    <w:p w14:paraId="11C50078" w14:textId="77777777" w:rsidR="005A2B4F" w:rsidRDefault="005A2B4F" w:rsidP="00DB29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DAFB849" w14:textId="77777777" w:rsidR="005A2B4F" w:rsidRDefault="005A2B4F" w:rsidP="00DB29E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4E23FE4" w14:textId="0FFC8CFE" w:rsidR="005A2B4F" w:rsidRDefault="005A2B4F" w:rsidP="006D76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  <w:lang w:val="uk-UA"/>
        </w:rPr>
      </w:pPr>
      <w:r w:rsidRPr="0001267B">
        <w:rPr>
          <w:rFonts w:ascii="Times New Roman" w:eastAsia="ArialMT" w:hAnsi="Times New Roman" w:cs="Times New Roman"/>
          <w:sz w:val="28"/>
          <w:szCs w:val="28"/>
          <w:lang w:val="uk-UA"/>
        </w:rPr>
        <w:t>Ефективність діяльності правоохоронних органів щодо</w:t>
      </w:r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r w:rsidRPr="0001267B">
        <w:rPr>
          <w:rFonts w:ascii="Times New Roman" w:eastAsia="ArialMT" w:hAnsi="Times New Roman" w:cs="Times New Roman"/>
          <w:sz w:val="28"/>
          <w:szCs w:val="28"/>
          <w:lang w:val="uk-UA"/>
        </w:rPr>
        <w:t>розкриття та</w:t>
      </w:r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r w:rsidR="006D76DF">
        <w:rPr>
          <w:rFonts w:ascii="Times New Roman" w:eastAsia="ArialMT" w:hAnsi="Times New Roman" w:cs="Times New Roman"/>
          <w:sz w:val="28"/>
          <w:szCs w:val="28"/>
          <w:lang w:val="uk-UA"/>
        </w:rPr>
        <w:t>….</w:t>
      </w:r>
    </w:p>
    <w:p w14:paraId="06B9F4DC" w14:textId="77777777" w:rsidR="005A2B4F" w:rsidRPr="0001267B" w:rsidRDefault="005A2B4F" w:rsidP="005A2B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Тому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r w:rsidRPr="0001267B">
        <w:rPr>
          <w:rFonts w:ascii="Times New Roman" w:eastAsia="ArialMT" w:hAnsi="Times New Roman" w:cs="Times New Roman"/>
          <w:sz w:val="28"/>
          <w:szCs w:val="28"/>
        </w:rPr>
        <w:t>«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таємниця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досудового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розслідування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» в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країнах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, де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функціонує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система прецедентного права, не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вживають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однак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lastRenderedPageBreak/>
        <w:t>застосовують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у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кримінальному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процесі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держав романо-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германської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правової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r w:rsidRPr="003065E3">
        <w:rPr>
          <w:rStyle w:val="20"/>
          <w:rFonts w:eastAsiaTheme="minorEastAsia"/>
          <w:sz w:val="28"/>
          <w:szCs w:val="28"/>
        </w:rPr>
        <w:t>[</w:t>
      </w:r>
      <w:r w:rsidR="00533D31">
        <w:rPr>
          <w:rStyle w:val="20"/>
          <w:rFonts w:eastAsiaTheme="minorEastAsia"/>
          <w:sz w:val="28"/>
          <w:szCs w:val="28"/>
        </w:rPr>
        <w:t>9</w:t>
      </w:r>
      <w:r w:rsidRPr="003065E3">
        <w:rPr>
          <w:rStyle w:val="20"/>
          <w:rFonts w:eastAsiaTheme="minorEastAsia"/>
          <w:sz w:val="28"/>
          <w:szCs w:val="28"/>
        </w:rPr>
        <w:t xml:space="preserve">, с. </w:t>
      </w:r>
      <w:r>
        <w:rPr>
          <w:rStyle w:val="20"/>
          <w:rFonts w:eastAsiaTheme="minorEastAsia"/>
          <w:sz w:val="28"/>
          <w:szCs w:val="28"/>
        </w:rPr>
        <w:t>334-335</w:t>
      </w:r>
      <w:r w:rsidRPr="003065E3">
        <w:rPr>
          <w:rStyle w:val="20"/>
          <w:rFonts w:eastAsiaTheme="minorEastAsia"/>
          <w:sz w:val="28"/>
          <w:szCs w:val="28"/>
        </w:rPr>
        <w:t>]</w:t>
      </w:r>
      <w:r w:rsidRPr="0001267B">
        <w:rPr>
          <w:rFonts w:ascii="Times New Roman" w:eastAsia="ArialMT" w:hAnsi="Times New Roman" w:cs="Times New Roman"/>
          <w:sz w:val="28"/>
          <w:szCs w:val="28"/>
        </w:rPr>
        <w:t>.</w:t>
      </w:r>
    </w:p>
    <w:p w14:paraId="38047714" w14:textId="58537861" w:rsidR="005A2B4F" w:rsidRPr="0001267B" w:rsidRDefault="005A2B4F" w:rsidP="006D76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Системний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аналіз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кримінально-процесуального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окремих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європейських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держав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дає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підстави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констатувати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процес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доказування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спрямований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на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отримання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вивчення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>,</w:t>
      </w:r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зберігання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оцінювання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та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використання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необхідної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для</w:t>
      </w:r>
      <w:proofErr w:type="gramStart"/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r w:rsidR="006D76DF">
        <w:rPr>
          <w:rFonts w:ascii="Times New Roman" w:eastAsia="ArialMT" w:hAnsi="Times New Roman" w:cs="Times New Roman"/>
          <w:sz w:val="28"/>
          <w:szCs w:val="28"/>
        </w:rPr>
        <w:t>….</w:t>
      </w:r>
      <w:proofErr w:type="gram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визначеному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обсязі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якщо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розголошення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не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суперечить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інтересам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досудового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розслідування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та не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пов’язано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з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порушенням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прав і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законних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інтересів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кримінального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процесу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(ст. 198 КПК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Республіки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Білорусь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>)</w:t>
      </w:r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r w:rsidRPr="003065E3">
        <w:rPr>
          <w:rStyle w:val="20"/>
          <w:rFonts w:eastAsiaTheme="minorEastAsia"/>
          <w:sz w:val="28"/>
          <w:szCs w:val="28"/>
        </w:rPr>
        <w:t>[</w:t>
      </w:r>
      <w:r w:rsidR="00533D31">
        <w:rPr>
          <w:rStyle w:val="20"/>
          <w:rFonts w:eastAsiaTheme="minorEastAsia"/>
          <w:sz w:val="28"/>
          <w:szCs w:val="28"/>
        </w:rPr>
        <w:t>11</w:t>
      </w:r>
      <w:r w:rsidRPr="003065E3">
        <w:rPr>
          <w:rStyle w:val="20"/>
          <w:rFonts w:eastAsiaTheme="minorEastAsia"/>
          <w:sz w:val="28"/>
          <w:szCs w:val="28"/>
        </w:rPr>
        <w:t xml:space="preserve">, с. </w:t>
      </w:r>
      <w:r>
        <w:rPr>
          <w:rStyle w:val="20"/>
          <w:rFonts w:eastAsiaTheme="minorEastAsia"/>
          <w:sz w:val="28"/>
          <w:szCs w:val="28"/>
        </w:rPr>
        <w:t>313-321</w:t>
      </w:r>
      <w:r w:rsidRPr="003065E3">
        <w:rPr>
          <w:rStyle w:val="20"/>
          <w:rFonts w:eastAsiaTheme="minorEastAsia"/>
          <w:sz w:val="28"/>
          <w:szCs w:val="28"/>
        </w:rPr>
        <w:t>]</w:t>
      </w:r>
      <w:r w:rsidRPr="0001267B">
        <w:rPr>
          <w:rFonts w:ascii="Times New Roman" w:eastAsia="ArialMT" w:hAnsi="Times New Roman" w:cs="Times New Roman"/>
          <w:sz w:val="28"/>
          <w:szCs w:val="28"/>
        </w:rPr>
        <w:t>.</w:t>
      </w:r>
    </w:p>
    <w:p w14:paraId="1E58F9CF" w14:textId="77777777" w:rsidR="005A2B4F" w:rsidRPr="0001267B" w:rsidRDefault="005A2B4F" w:rsidP="005A2B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Згідно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із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процесуальним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законодавством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Франції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>,</w:t>
      </w:r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розголошення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таємниці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досудового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розслідування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допустимо,</w:t>
      </w:r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коли закон не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передбачає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іншого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, а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також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у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разі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якщо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такі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завдадуть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шкоди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правам на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захист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(ст. 11 КПК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Франції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>).</w:t>
      </w:r>
    </w:p>
    <w:p w14:paraId="56742EDF" w14:textId="57283B8C" w:rsidR="005A2B4F" w:rsidRDefault="005A2B4F" w:rsidP="005A2B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  <w:lang w:val="uk-UA"/>
        </w:rPr>
      </w:pPr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У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кримінально-процесуальному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законодавстві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Литовської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Республіки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зазначено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що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відомості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які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стосуються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досудового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розслідування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можна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D76DF">
        <w:rPr>
          <w:rFonts w:ascii="Times New Roman" w:eastAsia="ArialMT" w:hAnsi="Times New Roman" w:cs="Times New Roman"/>
          <w:sz w:val="28"/>
          <w:szCs w:val="28"/>
        </w:rPr>
        <w:t>…</w:t>
      </w:r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заборонено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розголошувати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відомості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 про </w:t>
      </w:r>
      <w:proofErr w:type="spellStart"/>
      <w:r w:rsidRPr="0001267B">
        <w:rPr>
          <w:rFonts w:ascii="Times New Roman" w:eastAsia="ArialMT" w:hAnsi="Times New Roman" w:cs="Times New Roman"/>
          <w:sz w:val="28"/>
          <w:szCs w:val="28"/>
        </w:rPr>
        <w:t>неповнолітніх</w:t>
      </w:r>
      <w:proofErr w:type="spellEnd"/>
      <w:r w:rsidRPr="0001267B">
        <w:rPr>
          <w:rFonts w:ascii="Times New Roman" w:eastAsia="ArialMT" w:hAnsi="Times New Roman" w:cs="Times New Roman"/>
          <w:sz w:val="28"/>
          <w:szCs w:val="28"/>
        </w:rPr>
        <w:t>.</w:t>
      </w:r>
    </w:p>
    <w:p w14:paraId="42371573" w14:textId="77777777" w:rsidR="00994A72" w:rsidRDefault="00994A72" w:rsidP="005A2B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A72">
        <w:rPr>
          <w:rFonts w:ascii="Times New Roman" w:hAnsi="Times New Roman" w:cs="Times New Roman"/>
          <w:sz w:val="28"/>
          <w:szCs w:val="28"/>
          <w:lang w:val="uk-UA"/>
        </w:rPr>
        <w:t>Вивчення досвіду зарубіжних країн вказало на те, що забезпечення інституту таємниці досудового розслід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здійснюється шляхом існу</w:t>
      </w:r>
      <w:r w:rsidRPr="00994A72">
        <w:rPr>
          <w:rFonts w:ascii="Times New Roman" w:hAnsi="Times New Roman" w:cs="Times New Roman"/>
          <w:sz w:val="28"/>
          <w:szCs w:val="28"/>
          <w:lang w:val="uk-UA"/>
        </w:rPr>
        <w:t>вання різної системи гарантій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A7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A72">
        <w:rPr>
          <w:rFonts w:ascii="Times New Roman" w:hAnsi="Times New Roman" w:cs="Times New Roman"/>
          <w:sz w:val="28"/>
          <w:szCs w:val="28"/>
          <w:lang w:val="uk-UA"/>
        </w:rPr>
        <w:t>навіть мож</w:t>
      </w:r>
      <w:r>
        <w:rPr>
          <w:rFonts w:ascii="Times New Roman" w:hAnsi="Times New Roman" w:cs="Times New Roman"/>
          <w:sz w:val="28"/>
          <w:szCs w:val="28"/>
          <w:lang w:val="uk-UA"/>
        </w:rPr>
        <w:t>е не передбачати існування спе</w:t>
      </w:r>
      <w:r w:rsidRPr="00994A72">
        <w:rPr>
          <w:rFonts w:ascii="Times New Roman" w:hAnsi="Times New Roman" w:cs="Times New Roman"/>
          <w:sz w:val="28"/>
          <w:szCs w:val="28"/>
          <w:lang w:val="uk-UA"/>
        </w:rPr>
        <w:t xml:space="preserve">ціальної норми. </w:t>
      </w:r>
    </w:p>
    <w:p w14:paraId="407D4B39" w14:textId="218883BD" w:rsidR="00994A72" w:rsidRDefault="00994A72" w:rsidP="006D76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A7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94A72">
        <w:rPr>
          <w:rFonts w:ascii="Times New Roman" w:hAnsi="Times New Roman" w:cs="Times New Roman"/>
          <w:sz w:val="28"/>
          <w:szCs w:val="28"/>
        </w:rPr>
        <w:t xml:space="preserve">, у </w:t>
      </w:r>
      <w:r w:rsidR="006D76DF">
        <w:rPr>
          <w:rFonts w:ascii="Times New Roman" w:hAnsi="Times New Roman" w:cs="Times New Roman"/>
          <w:sz w:val="28"/>
          <w:szCs w:val="28"/>
        </w:rPr>
        <w:t>….</w:t>
      </w:r>
    </w:p>
    <w:p w14:paraId="5AD077C6" w14:textId="10E7EAAA" w:rsidR="0045247B" w:rsidRDefault="005A2B4F" w:rsidP="006D76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67B">
        <w:rPr>
          <w:rFonts w:ascii="Times New Roman" w:eastAsia="ArialMT" w:hAnsi="Times New Roman" w:cs="Times New Roman"/>
          <w:sz w:val="28"/>
          <w:szCs w:val="28"/>
        </w:rPr>
        <w:t xml:space="preserve">Таким чином, </w:t>
      </w:r>
      <w:r w:rsidR="006D76DF">
        <w:rPr>
          <w:rFonts w:ascii="Times New Roman" w:eastAsia="ArialMT" w:hAnsi="Times New Roman" w:cs="Times New Roman"/>
          <w:sz w:val="28"/>
          <w:szCs w:val="28"/>
        </w:rPr>
        <w:t>…</w:t>
      </w:r>
    </w:p>
    <w:p w14:paraId="0A8FC93D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27E8A0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141632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A44E5C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5F0339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0B9FD0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FEBD02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A5FCC0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DE1183" w14:textId="77777777" w:rsidR="00245AFD" w:rsidRPr="0013420E" w:rsidRDefault="00245AFD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20E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4152BE88" w14:textId="77777777" w:rsidR="00245AFD" w:rsidRDefault="00245AFD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644FA2" w14:textId="77777777" w:rsidR="00245AFD" w:rsidRDefault="00245AFD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A8344D" w14:textId="22E58E34" w:rsidR="00F43ACD" w:rsidRPr="00117134" w:rsidRDefault="00245AFD" w:rsidP="006D76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в результаті виконання даної роботи, метою написання якої  було комплексне вивчення питань, що стосуються </w:t>
      </w:r>
      <w:r w:rsidR="000A735D" w:rsidRPr="00117134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характеристики </w:t>
      </w:r>
      <w:r w:rsidR="00DB29EE" w:rsidRPr="00117134">
        <w:rPr>
          <w:rFonts w:ascii="Times New Roman" w:hAnsi="Times New Roman" w:cs="Times New Roman"/>
          <w:sz w:val="28"/>
          <w:szCs w:val="28"/>
          <w:lang w:val="uk-UA"/>
        </w:rPr>
        <w:t xml:space="preserve">нерозголошення відомостей під час </w:t>
      </w:r>
      <w:r w:rsidR="0045247B">
        <w:rPr>
          <w:rFonts w:ascii="Times New Roman" w:hAnsi="Times New Roman" w:cs="Times New Roman"/>
          <w:sz w:val="28"/>
          <w:szCs w:val="28"/>
          <w:lang w:val="uk-UA"/>
        </w:rPr>
        <w:t>досудового розслідування</w:t>
      </w:r>
      <w:r w:rsidR="00606A65" w:rsidRPr="001171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17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проведеного теоретичного аналізу відповідної наукової літератури та законодавчої бази з теми </w:t>
      </w:r>
      <w:r w:rsidR="006D76D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bookmarkStart w:id="0" w:name="_GoBack"/>
      <w:bookmarkEnd w:id="0"/>
    </w:p>
    <w:p w14:paraId="02EB5F45" w14:textId="77777777" w:rsidR="00F43ACD" w:rsidRDefault="00F43ACD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B27FC2" w14:textId="77777777" w:rsidR="00F43ACD" w:rsidRDefault="00F43ACD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DBF6F7" w14:textId="77777777" w:rsidR="00F43ACD" w:rsidRDefault="00F43ACD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9E4922" w14:textId="77777777" w:rsidR="00F43ACD" w:rsidRDefault="00F43ACD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686A4E" w14:textId="77777777" w:rsidR="00F43ACD" w:rsidRDefault="00F43ACD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C2FAB8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192A28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72F4AF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21A13D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335577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626177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41E4A7" w14:textId="77777777" w:rsidR="0045247B" w:rsidRDefault="0045247B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EDB885" w14:textId="77777777" w:rsidR="00245AFD" w:rsidRDefault="00245AFD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AFD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3ACC7A04" w14:textId="77777777" w:rsidR="00245AFD" w:rsidRDefault="00245AFD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71D208" w14:textId="77777777" w:rsidR="00245AFD" w:rsidRDefault="00245AFD" w:rsidP="00245A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935566" w14:textId="77777777" w:rsidR="00245AFD" w:rsidRDefault="00245AFD" w:rsidP="00245AF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24C5F">
        <w:rPr>
          <w:sz w:val="28"/>
          <w:szCs w:val="28"/>
          <w:lang w:val="uk-UA"/>
        </w:rPr>
        <w:t>Конституція України: прийнята на п’ятій сесії Верховної Ради України 28 червня 1996 року // Відо</w:t>
      </w:r>
      <w:r>
        <w:rPr>
          <w:sz w:val="28"/>
          <w:szCs w:val="28"/>
          <w:lang w:val="uk-UA"/>
        </w:rPr>
        <w:t>мості Верховної Ради України. 1996.</w:t>
      </w:r>
      <w:r w:rsidRPr="00B24C5F">
        <w:rPr>
          <w:sz w:val="28"/>
          <w:szCs w:val="28"/>
          <w:lang w:val="uk-UA"/>
        </w:rPr>
        <w:t xml:space="preserve"> № 30.</w:t>
      </w:r>
      <w:r w:rsidRPr="00121510">
        <w:rPr>
          <w:sz w:val="28"/>
          <w:szCs w:val="28"/>
        </w:rPr>
        <w:t xml:space="preserve"> </w:t>
      </w:r>
      <w:r w:rsidRPr="00911E79">
        <w:rPr>
          <w:sz w:val="28"/>
          <w:szCs w:val="28"/>
        </w:rPr>
        <w:t>Ст. 141</w:t>
      </w:r>
      <w:r>
        <w:rPr>
          <w:sz w:val="28"/>
          <w:szCs w:val="28"/>
          <w:lang w:val="uk-UA"/>
        </w:rPr>
        <w:t>.</w:t>
      </w:r>
    </w:p>
    <w:p w14:paraId="2D3FF163" w14:textId="77777777" w:rsidR="00ED4897" w:rsidRPr="00A17B93" w:rsidRDefault="00A17B93" w:rsidP="00A17B93">
      <w:pPr>
        <w:pStyle w:val="60"/>
        <w:numPr>
          <w:ilvl w:val="0"/>
          <w:numId w:val="4"/>
        </w:numPr>
        <w:shd w:val="clear" w:color="auto" w:fill="auto"/>
        <w:tabs>
          <w:tab w:val="left" w:pos="615"/>
        </w:tabs>
        <w:spacing w:before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="00ED4897" w:rsidRPr="00A17B93">
        <w:rPr>
          <w:rFonts w:ascii="Times New Roman" w:hAnsi="Times New Roman" w:cs="Times New Roman"/>
          <w:sz w:val="28"/>
          <w:szCs w:val="28"/>
          <w:lang w:val="uk-UA" w:bidi="ru-RU"/>
        </w:rPr>
        <w:t xml:space="preserve">Про </w:t>
      </w:r>
      <w:r w:rsidR="00C34BA4">
        <w:rPr>
          <w:rFonts w:ascii="Times New Roman" w:hAnsi="Times New Roman" w:cs="Times New Roman"/>
          <w:sz w:val="28"/>
          <w:szCs w:val="28"/>
          <w:lang w:val="uk-UA" w:bidi="ru-RU"/>
        </w:rPr>
        <w:t>оперативно-розшукову діяльність</w:t>
      </w:r>
      <w:r w:rsidR="00ED4897" w:rsidRPr="00A17B93">
        <w:rPr>
          <w:rFonts w:ascii="Times New Roman" w:hAnsi="Times New Roman" w:cs="Times New Roman"/>
          <w:sz w:val="28"/>
          <w:szCs w:val="28"/>
          <w:lang w:val="uk-UA" w:bidi="ru-RU"/>
        </w:rPr>
        <w:t xml:space="preserve">: Закон </w:t>
      </w:r>
      <w:r w:rsidR="00ED4897" w:rsidRPr="00A17B93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="00ED4897" w:rsidRPr="00A17B93">
        <w:rPr>
          <w:rFonts w:ascii="Times New Roman" w:hAnsi="Times New Roman" w:cs="Times New Roman"/>
          <w:sz w:val="28"/>
          <w:szCs w:val="28"/>
          <w:lang w:val="uk-UA" w:bidi="ru-RU"/>
        </w:rPr>
        <w:t>1</w:t>
      </w:r>
      <w:r w:rsidR="00C34BA4">
        <w:rPr>
          <w:rFonts w:ascii="Times New Roman" w:hAnsi="Times New Roman" w:cs="Times New Roman"/>
          <w:sz w:val="28"/>
          <w:szCs w:val="28"/>
          <w:lang w:val="uk-UA" w:bidi="ru-RU"/>
        </w:rPr>
        <w:t>8</w:t>
      </w:r>
      <w:r w:rsidR="00ED4897" w:rsidRPr="00A17B93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="00C34BA4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ED4897" w:rsidRPr="00A17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BA4">
        <w:rPr>
          <w:rFonts w:ascii="Times New Roman" w:hAnsi="Times New Roman" w:cs="Times New Roman"/>
          <w:sz w:val="28"/>
          <w:szCs w:val="28"/>
          <w:lang w:val="uk-UA"/>
        </w:rPr>
        <w:t>1992</w:t>
      </w:r>
      <w:r w:rsidR="00ED4897" w:rsidRPr="00A17B9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Style w:val="6Arial"/>
          <w:rFonts w:ascii="Times New Roman" w:hAnsi="Times New Roman" w:cs="Times New Roman"/>
          <w:sz w:val="28"/>
          <w:szCs w:val="28"/>
        </w:rPr>
        <w:t>//</w:t>
      </w:r>
      <w:r w:rsidR="00ED4897" w:rsidRPr="00A17B93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Верховної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ади України. </w:t>
      </w:r>
      <w:r w:rsidR="00C34BA4">
        <w:rPr>
          <w:rFonts w:ascii="Times New Roman" w:hAnsi="Times New Roman" w:cs="Times New Roman"/>
          <w:sz w:val="28"/>
          <w:szCs w:val="28"/>
          <w:lang w:val="uk-UA"/>
        </w:rPr>
        <w:t>1992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№ </w:t>
      </w:r>
      <w:r w:rsidR="00C34BA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2 .</w:t>
      </w:r>
      <w:r w:rsidR="00ED4897" w:rsidRPr="00A17B93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C34BA4">
        <w:rPr>
          <w:rFonts w:ascii="Times New Roman" w:hAnsi="Times New Roman" w:cs="Times New Roman"/>
          <w:sz w:val="28"/>
          <w:szCs w:val="28"/>
          <w:lang w:val="uk-UA"/>
        </w:rPr>
        <w:t>303</w:t>
      </w:r>
      <w:r w:rsidR="00ED4897" w:rsidRPr="00A17B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1C39CF" w14:textId="77777777" w:rsidR="00362484" w:rsidRPr="00C34BA4" w:rsidRDefault="00A17B93" w:rsidP="00C34BA4">
      <w:pPr>
        <w:pStyle w:val="60"/>
        <w:numPr>
          <w:ilvl w:val="0"/>
          <w:numId w:val="4"/>
        </w:numPr>
        <w:tabs>
          <w:tab w:val="left" w:pos="615"/>
        </w:tabs>
        <w:spacing w:before="0" w:line="360" w:lineRule="auto"/>
        <w:ind w:left="714" w:hanging="357"/>
        <w:rPr>
          <w:rStyle w:val="8"/>
          <w:rFonts w:eastAsiaTheme="minorEastAsia"/>
          <w:color w:val="auto"/>
          <w:sz w:val="28"/>
          <w:szCs w:val="28"/>
          <w:lang w:eastAsia="ru-RU" w:bidi="ar-SA"/>
        </w:rPr>
      </w:pPr>
      <w:r w:rsidRPr="00C34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484" w:rsidRPr="00C34BA4">
        <w:rPr>
          <w:rStyle w:val="8"/>
          <w:rFonts w:eastAsiaTheme="minorEastAsia"/>
          <w:sz w:val="28"/>
          <w:szCs w:val="28"/>
        </w:rPr>
        <w:t>Кримінальний процесуальний кодекс // Відомості Верховної Ради. 2012.  № 9-10, № 11-12, № 13. Ст. 88</w:t>
      </w:r>
      <w:r w:rsidR="00362484" w:rsidRPr="00C34BA4">
        <w:rPr>
          <w:rStyle w:val="8"/>
          <w:rFonts w:eastAsiaTheme="minorEastAsia"/>
          <w:color w:val="auto"/>
          <w:sz w:val="28"/>
          <w:szCs w:val="28"/>
          <w:lang w:eastAsia="ru-RU" w:bidi="ar-SA"/>
        </w:rPr>
        <w:t>.</w:t>
      </w:r>
    </w:p>
    <w:p w14:paraId="1AE281AF" w14:textId="77777777" w:rsidR="001613D7" w:rsidRDefault="001613D7" w:rsidP="001613D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07F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від 5 квітня 2001 року // Відомості Верховної Ради України. 2001. № 25-26. Ст. 131.</w:t>
      </w:r>
    </w:p>
    <w:p w14:paraId="7E95D4FC" w14:textId="77777777" w:rsidR="00245AFD" w:rsidRDefault="00362484" w:rsidP="0036248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0E7A8F">
        <w:rPr>
          <w:sz w:val="28"/>
          <w:szCs w:val="28"/>
        </w:rPr>
        <w:lastRenderedPageBreak/>
        <w:t>Конвенція</w:t>
      </w:r>
      <w:proofErr w:type="spellEnd"/>
      <w:r w:rsidRPr="000E7A8F">
        <w:rPr>
          <w:sz w:val="28"/>
          <w:szCs w:val="28"/>
        </w:rPr>
        <w:t xml:space="preserve"> про </w:t>
      </w:r>
      <w:proofErr w:type="spellStart"/>
      <w:r w:rsidRPr="000E7A8F">
        <w:rPr>
          <w:sz w:val="28"/>
          <w:szCs w:val="28"/>
        </w:rPr>
        <w:t>захист</w:t>
      </w:r>
      <w:proofErr w:type="spellEnd"/>
      <w:r w:rsidRPr="000E7A8F">
        <w:rPr>
          <w:sz w:val="28"/>
          <w:szCs w:val="28"/>
        </w:rPr>
        <w:t xml:space="preserve"> прав </w:t>
      </w:r>
      <w:proofErr w:type="spellStart"/>
      <w:r w:rsidRPr="000E7A8F">
        <w:rPr>
          <w:sz w:val="28"/>
          <w:szCs w:val="28"/>
        </w:rPr>
        <w:t>людини</w:t>
      </w:r>
      <w:proofErr w:type="spellEnd"/>
      <w:r w:rsidRPr="000E7A8F">
        <w:rPr>
          <w:sz w:val="28"/>
          <w:szCs w:val="28"/>
        </w:rPr>
        <w:t xml:space="preserve"> та </w:t>
      </w:r>
      <w:proofErr w:type="spellStart"/>
      <w:r w:rsidRPr="000E7A8F">
        <w:rPr>
          <w:sz w:val="28"/>
          <w:szCs w:val="28"/>
        </w:rPr>
        <w:t>основоположних</w:t>
      </w:r>
      <w:proofErr w:type="spellEnd"/>
      <w:r w:rsidRPr="000E7A8F">
        <w:rPr>
          <w:sz w:val="28"/>
          <w:szCs w:val="28"/>
        </w:rPr>
        <w:t xml:space="preserve"> свобод </w:t>
      </w:r>
      <w:proofErr w:type="spellStart"/>
      <w:r w:rsidRPr="000E7A8F">
        <w:rPr>
          <w:sz w:val="28"/>
          <w:szCs w:val="28"/>
        </w:rPr>
        <w:t>від</w:t>
      </w:r>
      <w:proofErr w:type="spellEnd"/>
      <w:r w:rsidRPr="000E7A8F">
        <w:rPr>
          <w:sz w:val="28"/>
          <w:szCs w:val="28"/>
        </w:rPr>
        <w:t xml:space="preserve"> 04.11.1950</w:t>
      </w:r>
      <w:r w:rsidRPr="000E7A8F">
        <w:rPr>
          <w:sz w:val="28"/>
          <w:szCs w:val="28"/>
          <w:lang w:val="uk-UA"/>
        </w:rPr>
        <w:t xml:space="preserve">. </w:t>
      </w:r>
      <w:proofErr w:type="gramStart"/>
      <w:r w:rsidRPr="000E7A8F">
        <w:rPr>
          <w:sz w:val="28"/>
          <w:szCs w:val="28"/>
          <w:lang w:val="en-US"/>
        </w:rPr>
        <w:t>URL :</w:t>
      </w:r>
      <w:proofErr w:type="gramEnd"/>
      <w:r w:rsidRPr="000E7A8F">
        <w:rPr>
          <w:sz w:val="28"/>
          <w:szCs w:val="28"/>
          <w:lang w:val="en-US"/>
        </w:rPr>
        <w:t xml:space="preserve"> </w:t>
      </w:r>
      <w:hyperlink r:id="rId7" w:history="1">
        <w:r w:rsidRPr="000E7A8F">
          <w:rPr>
            <w:rStyle w:val="a9"/>
            <w:color w:val="auto"/>
            <w:sz w:val="28"/>
            <w:szCs w:val="28"/>
            <w:u w:val="none"/>
            <w:lang w:val="en-US"/>
          </w:rPr>
          <w:t>http://zakon4.rada.gov.ua/law s/show/995_004</w:t>
        </w:r>
      </w:hyperlink>
      <w:r w:rsidRPr="000E7A8F">
        <w:rPr>
          <w:sz w:val="28"/>
          <w:szCs w:val="28"/>
          <w:lang w:val="uk-UA"/>
        </w:rPr>
        <w:t xml:space="preserve"> (дата звернення 14.09.2019).</w:t>
      </w:r>
    </w:p>
    <w:p w14:paraId="5518D383" w14:textId="77777777" w:rsidR="001613D7" w:rsidRDefault="001613D7" w:rsidP="001613D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613D7">
        <w:rPr>
          <w:rStyle w:val="50"/>
          <w:rFonts w:ascii="Times New Roman" w:eastAsiaTheme="minorEastAsia" w:hAnsi="Times New Roman" w:cs="Times New Roman"/>
          <w:sz w:val="28"/>
          <w:szCs w:val="28"/>
        </w:rPr>
        <w:t xml:space="preserve">Міжнародний пакт про громадянські і політичні права від 16.12.1966 р. </w:t>
      </w:r>
      <w:proofErr w:type="gramStart"/>
      <w:r w:rsidRPr="001613D7">
        <w:rPr>
          <w:rStyle w:val="50"/>
          <w:rFonts w:ascii="Times New Roman" w:eastAsiaTheme="minorEastAsia" w:hAnsi="Times New Roman" w:cs="Times New Roman"/>
          <w:sz w:val="28"/>
          <w:szCs w:val="28"/>
          <w:lang w:val="en-US"/>
        </w:rPr>
        <w:t>URL</w:t>
      </w:r>
      <w:r w:rsidRPr="001613D7">
        <w:rPr>
          <w:rStyle w:val="50"/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1613D7">
        <w:rPr>
          <w:rStyle w:val="50"/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8" w:history="1">
        <w:r w:rsidRPr="001613D7">
          <w:rPr>
            <w:rStyle w:val="a9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Pr="001613D7">
          <w:rPr>
            <w:rStyle w:val="a9"/>
            <w:color w:val="auto"/>
            <w:sz w:val="28"/>
            <w:szCs w:val="28"/>
            <w:u w:val="none"/>
            <w:lang w:eastAsia="en-US" w:bidi="en-US"/>
          </w:rPr>
          <w:t>://</w:t>
        </w:r>
        <w:proofErr w:type="spellStart"/>
        <w:r w:rsidRPr="001613D7">
          <w:rPr>
            <w:rStyle w:val="a9"/>
            <w:color w:val="auto"/>
            <w:sz w:val="28"/>
            <w:szCs w:val="28"/>
            <w:u w:val="none"/>
            <w:lang w:val="en-US" w:eastAsia="en-US" w:bidi="en-US"/>
          </w:rPr>
          <w:t>zakon</w:t>
        </w:r>
        <w:proofErr w:type="spellEnd"/>
        <w:r w:rsidRPr="001613D7">
          <w:rPr>
            <w:rStyle w:val="a9"/>
            <w:color w:val="auto"/>
            <w:sz w:val="28"/>
            <w:szCs w:val="28"/>
            <w:u w:val="none"/>
            <w:lang w:eastAsia="en-US" w:bidi="en-US"/>
          </w:rPr>
          <w:t>3.</w:t>
        </w:r>
        <w:proofErr w:type="spellStart"/>
        <w:r w:rsidRPr="001613D7">
          <w:rPr>
            <w:rStyle w:val="a9"/>
            <w:color w:val="auto"/>
            <w:sz w:val="28"/>
            <w:szCs w:val="28"/>
            <w:u w:val="none"/>
            <w:lang w:val="en-US" w:eastAsia="en-US" w:bidi="en-US"/>
          </w:rPr>
          <w:t>rada</w:t>
        </w:r>
        <w:proofErr w:type="spellEnd"/>
        <w:r w:rsidRPr="001613D7">
          <w:rPr>
            <w:rStyle w:val="a9"/>
            <w:color w:val="auto"/>
            <w:sz w:val="28"/>
            <w:szCs w:val="28"/>
            <w:u w:val="none"/>
            <w:lang w:eastAsia="en-US" w:bidi="en-US"/>
          </w:rPr>
          <w:t>.</w:t>
        </w:r>
        <w:r w:rsidRPr="001613D7">
          <w:rPr>
            <w:rStyle w:val="a9"/>
            <w:color w:val="auto"/>
            <w:sz w:val="28"/>
            <w:szCs w:val="28"/>
            <w:u w:val="none"/>
            <w:lang w:val="en-US" w:eastAsia="en-US" w:bidi="en-US"/>
          </w:rPr>
          <w:t>gov</w:t>
        </w:r>
        <w:r w:rsidRPr="001613D7">
          <w:rPr>
            <w:rStyle w:val="a9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Pr="001613D7">
          <w:rPr>
            <w:rStyle w:val="a9"/>
            <w:color w:val="auto"/>
            <w:sz w:val="28"/>
            <w:szCs w:val="28"/>
            <w:u w:val="none"/>
            <w:lang w:val="en-US" w:eastAsia="en-US" w:bidi="en-US"/>
          </w:rPr>
          <w:t>ua</w:t>
        </w:r>
        <w:proofErr w:type="spellEnd"/>
        <w:r w:rsidRPr="001613D7">
          <w:rPr>
            <w:rStyle w:val="a9"/>
            <w:color w:val="auto"/>
            <w:sz w:val="28"/>
            <w:szCs w:val="28"/>
            <w:u w:val="none"/>
            <w:lang w:eastAsia="en-US" w:bidi="en-US"/>
          </w:rPr>
          <w:t>/</w:t>
        </w:r>
        <w:r w:rsidRPr="001613D7">
          <w:rPr>
            <w:rStyle w:val="a9"/>
            <w:color w:val="auto"/>
            <w:sz w:val="28"/>
            <w:szCs w:val="28"/>
            <w:u w:val="none"/>
            <w:lang w:val="en-US" w:eastAsia="en-US" w:bidi="en-US"/>
          </w:rPr>
          <w:t>laws</w:t>
        </w:r>
        <w:r w:rsidRPr="001613D7">
          <w:rPr>
            <w:rStyle w:val="a9"/>
            <w:color w:val="auto"/>
            <w:sz w:val="28"/>
            <w:szCs w:val="28"/>
            <w:u w:val="none"/>
            <w:lang w:eastAsia="en-US" w:bidi="en-US"/>
          </w:rPr>
          <w:t>/</w:t>
        </w:r>
        <w:r w:rsidRPr="001613D7">
          <w:rPr>
            <w:rStyle w:val="a9"/>
            <w:color w:val="auto"/>
            <w:sz w:val="28"/>
            <w:szCs w:val="28"/>
            <w:u w:val="none"/>
            <w:lang w:val="en-US" w:eastAsia="en-US" w:bidi="en-US"/>
          </w:rPr>
          <w:t>show</w:t>
        </w:r>
        <w:r w:rsidRPr="001613D7">
          <w:rPr>
            <w:rStyle w:val="a9"/>
            <w:color w:val="auto"/>
            <w:sz w:val="28"/>
            <w:szCs w:val="28"/>
            <w:u w:val="none"/>
            <w:lang w:eastAsia="en-US" w:bidi="en-US"/>
          </w:rPr>
          <w:t>/995043</w:t>
        </w:r>
      </w:hyperlink>
      <w:r w:rsidRPr="001613D7">
        <w:rPr>
          <w:sz w:val="28"/>
          <w:szCs w:val="28"/>
          <w:lang w:val="uk-UA"/>
        </w:rPr>
        <w:t xml:space="preserve"> (дата звернення 16.09.2019).</w:t>
      </w:r>
    </w:p>
    <w:p w14:paraId="34772E1E" w14:textId="77777777" w:rsidR="00F43ACD" w:rsidRPr="00F43ACD" w:rsidRDefault="00F43ACD" w:rsidP="001613D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Гловюк</w:t>
      </w:r>
      <w:proofErr w:type="spellEnd"/>
      <w:r>
        <w:rPr>
          <w:sz w:val="28"/>
          <w:szCs w:val="28"/>
          <w:lang w:val="uk-UA"/>
        </w:rPr>
        <w:t xml:space="preserve"> І.В. </w:t>
      </w:r>
      <w:hyperlink r:id="rId9" w:history="1">
        <w:r w:rsidRPr="00F43ACD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Питання ознайомлення із матеріалами досудового розслідування у контексті практики ЄСПЛ</w:t>
        </w:r>
      </w:hyperlink>
      <w:r>
        <w:rPr>
          <w:sz w:val="28"/>
          <w:szCs w:val="28"/>
          <w:lang w:val="uk-UA"/>
        </w:rPr>
        <w:t xml:space="preserve"> / І.В. </w:t>
      </w:r>
      <w:proofErr w:type="spellStart"/>
      <w:r>
        <w:rPr>
          <w:sz w:val="28"/>
          <w:szCs w:val="28"/>
          <w:lang w:val="uk-UA"/>
        </w:rPr>
        <w:t>Гловюк</w:t>
      </w:r>
      <w:proofErr w:type="spellEnd"/>
      <w:r>
        <w:rPr>
          <w:sz w:val="28"/>
          <w:szCs w:val="28"/>
          <w:lang w:val="uk-UA"/>
        </w:rPr>
        <w:t xml:space="preserve"> // </w:t>
      </w:r>
      <w:r w:rsidRPr="00F43ACD">
        <w:rPr>
          <w:sz w:val="28"/>
          <w:szCs w:val="28"/>
          <w:lang w:val="uk-UA"/>
        </w:rPr>
        <w:t>Вісник Південного регіонального центру Національної академії правових наук України. 2018. № 15. С.151-159.</w:t>
      </w:r>
    </w:p>
    <w:p w14:paraId="5B311375" w14:textId="77777777" w:rsidR="00362484" w:rsidRPr="001613D7" w:rsidRDefault="00F43ACD" w:rsidP="001613D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62484" w:rsidRPr="001613D7">
        <w:rPr>
          <w:bCs/>
          <w:sz w:val="28"/>
          <w:szCs w:val="28"/>
          <w:lang w:val="uk-UA"/>
        </w:rPr>
        <w:t xml:space="preserve">Досудове </w:t>
      </w:r>
      <w:r w:rsidR="00362484" w:rsidRPr="001613D7">
        <w:rPr>
          <w:sz w:val="28"/>
          <w:szCs w:val="28"/>
          <w:lang w:val="uk-UA"/>
        </w:rPr>
        <w:t xml:space="preserve">розслідування: актуальні проблеми та шляхи їх вирішення: </w:t>
      </w:r>
      <w:proofErr w:type="spellStart"/>
      <w:r w:rsidR="00362484" w:rsidRPr="001613D7">
        <w:rPr>
          <w:sz w:val="28"/>
          <w:szCs w:val="28"/>
        </w:rPr>
        <w:t>редкол</w:t>
      </w:r>
      <w:proofErr w:type="spellEnd"/>
      <w:r w:rsidR="00362484" w:rsidRPr="001613D7">
        <w:rPr>
          <w:sz w:val="28"/>
          <w:szCs w:val="28"/>
        </w:rPr>
        <w:t xml:space="preserve">.: М. В. Членов (голов. ред.), Л. М. </w:t>
      </w:r>
      <w:proofErr w:type="spellStart"/>
      <w:r w:rsidR="00362484" w:rsidRPr="001613D7">
        <w:rPr>
          <w:sz w:val="28"/>
          <w:szCs w:val="28"/>
        </w:rPr>
        <w:t>Леженіна</w:t>
      </w:r>
      <w:proofErr w:type="spellEnd"/>
      <w:r w:rsidR="00362484" w:rsidRPr="001613D7">
        <w:rPr>
          <w:sz w:val="28"/>
          <w:szCs w:val="28"/>
        </w:rPr>
        <w:t xml:space="preserve"> (</w:t>
      </w:r>
      <w:proofErr w:type="spellStart"/>
      <w:r w:rsidR="00362484" w:rsidRPr="001613D7">
        <w:rPr>
          <w:sz w:val="28"/>
          <w:szCs w:val="28"/>
        </w:rPr>
        <w:t>заст</w:t>
      </w:r>
      <w:proofErr w:type="spellEnd"/>
      <w:r w:rsidR="00362484" w:rsidRPr="001613D7">
        <w:rPr>
          <w:sz w:val="28"/>
          <w:szCs w:val="28"/>
        </w:rPr>
        <w:t xml:space="preserve">. голов. ред.), О. В. </w:t>
      </w:r>
      <w:proofErr w:type="spellStart"/>
      <w:r w:rsidR="00362484" w:rsidRPr="001613D7">
        <w:rPr>
          <w:sz w:val="28"/>
          <w:szCs w:val="28"/>
        </w:rPr>
        <w:t>Косьмін</w:t>
      </w:r>
      <w:proofErr w:type="spellEnd"/>
      <w:r w:rsidR="00362484" w:rsidRPr="001613D7">
        <w:rPr>
          <w:sz w:val="28"/>
          <w:szCs w:val="28"/>
        </w:rPr>
        <w:t xml:space="preserve">. </w:t>
      </w:r>
      <w:proofErr w:type="spellStart"/>
      <w:proofErr w:type="gramStart"/>
      <w:r w:rsidR="00362484" w:rsidRPr="001613D7">
        <w:rPr>
          <w:sz w:val="28"/>
          <w:szCs w:val="28"/>
        </w:rPr>
        <w:t>Харків</w:t>
      </w:r>
      <w:proofErr w:type="spellEnd"/>
      <w:r w:rsidR="00362484" w:rsidRPr="001613D7">
        <w:rPr>
          <w:sz w:val="28"/>
          <w:szCs w:val="28"/>
        </w:rPr>
        <w:t xml:space="preserve"> :</w:t>
      </w:r>
      <w:proofErr w:type="gramEnd"/>
      <w:r w:rsidR="00362484" w:rsidRPr="001613D7">
        <w:rPr>
          <w:sz w:val="28"/>
          <w:szCs w:val="28"/>
        </w:rPr>
        <w:t xml:space="preserve"> Право, 2018. </w:t>
      </w:r>
      <w:proofErr w:type="spellStart"/>
      <w:r w:rsidR="00362484" w:rsidRPr="001613D7">
        <w:rPr>
          <w:sz w:val="28"/>
          <w:szCs w:val="28"/>
        </w:rPr>
        <w:t>Вип</w:t>
      </w:r>
      <w:proofErr w:type="spellEnd"/>
      <w:r w:rsidR="00362484" w:rsidRPr="001613D7">
        <w:rPr>
          <w:sz w:val="28"/>
          <w:szCs w:val="28"/>
        </w:rPr>
        <w:t>. 10 (</w:t>
      </w:r>
      <w:proofErr w:type="spellStart"/>
      <w:r w:rsidR="00362484" w:rsidRPr="001613D7">
        <w:rPr>
          <w:sz w:val="28"/>
          <w:szCs w:val="28"/>
        </w:rPr>
        <w:t>ювіл</w:t>
      </w:r>
      <w:proofErr w:type="spellEnd"/>
      <w:r w:rsidR="00362484" w:rsidRPr="001613D7">
        <w:rPr>
          <w:sz w:val="28"/>
          <w:szCs w:val="28"/>
        </w:rPr>
        <w:t>.). 306 с.</w:t>
      </w:r>
    </w:p>
    <w:p w14:paraId="04C45230" w14:textId="77777777" w:rsidR="002E6075" w:rsidRPr="00431259" w:rsidRDefault="002E6075" w:rsidP="00BC280D">
      <w:pPr>
        <w:pStyle w:val="ab"/>
        <w:widowControl w:val="0"/>
        <w:numPr>
          <w:ilvl w:val="0"/>
          <w:numId w:val="4"/>
        </w:numPr>
        <w:tabs>
          <w:tab w:val="left" w:pos="6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80D" w:rsidRPr="002E6075">
        <w:rPr>
          <w:rFonts w:ascii="Times New Roman" w:hAnsi="Times New Roman" w:cs="Times New Roman"/>
          <w:sz w:val="28"/>
          <w:szCs w:val="28"/>
          <w:lang w:val="uk-UA"/>
        </w:rPr>
        <w:t>Єфименко І. М. Таємниця досудового розслідування в кримінальному судочинстві</w:t>
      </w:r>
      <w:r w:rsidRPr="002E6075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європейських держав / І.М. Єфименко // </w:t>
      </w:r>
      <w:r w:rsidRPr="002E6075">
        <w:rPr>
          <w:rFonts w:ascii="Times New Roman" w:hAnsi="Times New Roman" w:cs="Times New Roman"/>
          <w:iCs/>
          <w:sz w:val="28"/>
          <w:szCs w:val="28"/>
          <w:lang w:val="uk-UA"/>
        </w:rPr>
        <w:t>Юридичний часопис Національної академії внутрішніх справ. 2017. № 1. С.329-337.</w:t>
      </w:r>
    </w:p>
    <w:p w14:paraId="7A91B760" w14:textId="77777777" w:rsidR="00431259" w:rsidRPr="00431259" w:rsidRDefault="00431259" w:rsidP="00431259">
      <w:pPr>
        <w:pStyle w:val="ab"/>
        <w:widowControl w:val="0"/>
        <w:numPr>
          <w:ilvl w:val="0"/>
          <w:numId w:val="4"/>
        </w:numPr>
        <w:tabs>
          <w:tab w:val="left" w:pos="620"/>
        </w:tabs>
        <w:spacing w:after="0" w:line="360" w:lineRule="auto"/>
        <w:jc w:val="both"/>
        <w:rPr>
          <w:rStyle w:val="8"/>
          <w:rFonts w:eastAsiaTheme="minorEastAsia"/>
          <w:color w:val="auto"/>
          <w:sz w:val="28"/>
          <w:szCs w:val="28"/>
        </w:rPr>
      </w:pPr>
      <w:r>
        <w:rPr>
          <w:rStyle w:val="80"/>
          <w:rFonts w:eastAsiaTheme="minorEastAsia"/>
          <w:i w:val="0"/>
          <w:sz w:val="28"/>
          <w:szCs w:val="28"/>
        </w:rPr>
        <w:t xml:space="preserve"> </w:t>
      </w:r>
      <w:proofErr w:type="spellStart"/>
      <w:r w:rsidRPr="00362484">
        <w:rPr>
          <w:rStyle w:val="80"/>
          <w:rFonts w:eastAsiaTheme="minorEastAsia"/>
          <w:i w:val="0"/>
          <w:sz w:val="28"/>
          <w:szCs w:val="28"/>
        </w:rPr>
        <w:t>Капліна</w:t>
      </w:r>
      <w:proofErr w:type="spellEnd"/>
      <w:r w:rsidRPr="00362484">
        <w:rPr>
          <w:rStyle w:val="80"/>
          <w:rFonts w:eastAsiaTheme="minorEastAsia"/>
          <w:i w:val="0"/>
          <w:sz w:val="28"/>
          <w:szCs w:val="28"/>
        </w:rPr>
        <w:t xml:space="preserve"> О.В., </w:t>
      </w:r>
      <w:r w:rsidRPr="00362484">
        <w:rPr>
          <w:rStyle w:val="80"/>
          <w:rFonts w:eastAsiaTheme="minorEastAsia"/>
          <w:i w:val="0"/>
          <w:sz w:val="28"/>
          <w:szCs w:val="28"/>
          <w:lang w:eastAsia="ru-RU" w:bidi="ru-RU"/>
        </w:rPr>
        <w:t xml:space="preserve">Карпенко </w:t>
      </w:r>
      <w:r w:rsidRPr="00362484">
        <w:rPr>
          <w:rStyle w:val="80"/>
          <w:rFonts w:eastAsiaTheme="minorEastAsia"/>
          <w:i w:val="0"/>
          <w:sz w:val="28"/>
          <w:szCs w:val="28"/>
        </w:rPr>
        <w:t xml:space="preserve">М.О., </w:t>
      </w:r>
      <w:proofErr w:type="spellStart"/>
      <w:r w:rsidRPr="00362484">
        <w:rPr>
          <w:rStyle w:val="80"/>
          <w:rFonts w:eastAsiaTheme="minorEastAsia"/>
          <w:i w:val="0"/>
          <w:sz w:val="28"/>
          <w:szCs w:val="28"/>
        </w:rPr>
        <w:t>Маринів</w:t>
      </w:r>
      <w:proofErr w:type="spellEnd"/>
      <w:r w:rsidRPr="00362484">
        <w:rPr>
          <w:rStyle w:val="80"/>
          <w:rFonts w:eastAsiaTheme="minorEastAsia"/>
          <w:i w:val="0"/>
          <w:sz w:val="28"/>
          <w:szCs w:val="28"/>
        </w:rPr>
        <w:t xml:space="preserve"> В.І.</w:t>
      </w:r>
      <w:r w:rsidRPr="0056595E">
        <w:rPr>
          <w:rStyle w:val="8"/>
          <w:rFonts w:eastAsiaTheme="minorEastAsia"/>
          <w:sz w:val="28"/>
          <w:szCs w:val="28"/>
        </w:rPr>
        <w:t xml:space="preserve"> та ін. Кримінальний процес: </w:t>
      </w:r>
      <w:proofErr w:type="spellStart"/>
      <w:r w:rsidRPr="0056595E">
        <w:rPr>
          <w:rStyle w:val="8"/>
          <w:rFonts w:eastAsiaTheme="minorEastAsia"/>
          <w:sz w:val="28"/>
          <w:szCs w:val="28"/>
        </w:rPr>
        <w:t>навч</w:t>
      </w:r>
      <w:proofErr w:type="spellEnd"/>
      <w:r w:rsidRPr="0056595E">
        <w:rPr>
          <w:rStyle w:val="8"/>
          <w:rFonts w:eastAsiaTheme="minorEastAsia"/>
          <w:sz w:val="28"/>
          <w:szCs w:val="28"/>
        </w:rPr>
        <w:t xml:space="preserve">. </w:t>
      </w:r>
      <w:proofErr w:type="spellStart"/>
      <w:r w:rsidRPr="0056595E">
        <w:rPr>
          <w:rStyle w:val="8"/>
          <w:rFonts w:eastAsiaTheme="minorEastAsia"/>
          <w:sz w:val="28"/>
          <w:szCs w:val="28"/>
        </w:rPr>
        <w:t>посіб</w:t>
      </w:r>
      <w:proofErr w:type="spellEnd"/>
      <w:r w:rsidRPr="0056595E">
        <w:rPr>
          <w:rStyle w:val="8"/>
          <w:rFonts w:eastAsiaTheme="minorEastAsia"/>
          <w:sz w:val="28"/>
          <w:szCs w:val="28"/>
        </w:rPr>
        <w:t>. Для</w:t>
      </w:r>
      <w:r>
        <w:rPr>
          <w:rStyle w:val="8"/>
          <w:rFonts w:eastAsiaTheme="minorEastAsia"/>
          <w:sz w:val="28"/>
          <w:szCs w:val="28"/>
        </w:rPr>
        <w:t xml:space="preserve"> </w:t>
      </w:r>
      <w:r w:rsidRPr="0056595E">
        <w:rPr>
          <w:rStyle w:val="8"/>
          <w:rFonts w:eastAsiaTheme="minorEastAsia"/>
          <w:sz w:val="28"/>
          <w:szCs w:val="28"/>
        </w:rPr>
        <w:t>підготовки до іспиту. Харків: Право, 2016. 288 с.</w:t>
      </w:r>
    </w:p>
    <w:p w14:paraId="4334EA11" w14:textId="77777777" w:rsidR="00362484" w:rsidRDefault="00431259" w:rsidP="00431259">
      <w:pPr>
        <w:pStyle w:val="ab"/>
        <w:widowControl w:val="0"/>
        <w:numPr>
          <w:ilvl w:val="0"/>
          <w:numId w:val="4"/>
        </w:numPr>
        <w:tabs>
          <w:tab w:val="left" w:pos="620"/>
        </w:tabs>
        <w:spacing w:after="0" w:line="360" w:lineRule="auto"/>
        <w:jc w:val="both"/>
        <w:rPr>
          <w:rStyle w:val="8"/>
          <w:rFonts w:eastAsiaTheme="minorEastAsia"/>
          <w:sz w:val="28"/>
          <w:szCs w:val="28"/>
        </w:rPr>
      </w:pPr>
      <w:r>
        <w:rPr>
          <w:rStyle w:val="8"/>
          <w:rFonts w:eastAsiaTheme="minorEastAsia"/>
          <w:sz w:val="28"/>
          <w:szCs w:val="28"/>
        </w:rPr>
        <w:t xml:space="preserve"> </w:t>
      </w:r>
      <w:r w:rsidR="00362484" w:rsidRPr="00431259">
        <w:rPr>
          <w:rStyle w:val="8"/>
          <w:rFonts w:eastAsiaTheme="minorEastAsia"/>
          <w:sz w:val="28"/>
          <w:szCs w:val="28"/>
        </w:rPr>
        <w:t xml:space="preserve">Кримінальний процес : підручник / за ред. Ю.М. Грошевого та О.В. </w:t>
      </w:r>
      <w:proofErr w:type="spellStart"/>
      <w:r w:rsidR="00362484" w:rsidRPr="00431259">
        <w:rPr>
          <w:rStyle w:val="8"/>
          <w:rFonts w:eastAsiaTheme="minorEastAsia"/>
          <w:sz w:val="28"/>
          <w:szCs w:val="28"/>
        </w:rPr>
        <w:t>Капліної</w:t>
      </w:r>
      <w:proofErr w:type="spellEnd"/>
      <w:r w:rsidR="00362484" w:rsidRPr="00431259">
        <w:rPr>
          <w:rStyle w:val="8"/>
          <w:rFonts w:eastAsiaTheme="minorEastAsia"/>
          <w:sz w:val="28"/>
          <w:szCs w:val="28"/>
        </w:rPr>
        <w:t>. X.: Право, 2015. 608 с.</w:t>
      </w:r>
    </w:p>
    <w:p w14:paraId="60046252" w14:textId="77777777" w:rsidR="001613D7" w:rsidRPr="00B75AF8" w:rsidRDefault="001613D7" w:rsidP="001613D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5AF8">
        <w:rPr>
          <w:rFonts w:ascii="Times New Roman" w:eastAsia="Times New Roman" w:hAnsi="Times New Roman" w:cs="Times New Roman"/>
          <w:sz w:val="28"/>
          <w:szCs w:val="28"/>
        </w:rPr>
        <w:t>Кримінальний</w:t>
      </w:r>
      <w:proofErr w:type="spellEnd"/>
      <w:r w:rsidRPr="00B75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5AF8">
        <w:rPr>
          <w:rFonts w:ascii="Times New Roman" w:eastAsia="Times New Roman" w:hAnsi="Times New Roman" w:cs="Times New Roman"/>
          <w:sz w:val="28"/>
          <w:szCs w:val="28"/>
        </w:rPr>
        <w:t>процесуальний</w:t>
      </w:r>
      <w:proofErr w:type="spellEnd"/>
      <w:r w:rsidRPr="00B75AF8"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 w:rsidRPr="00B75AF8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75A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75AF8">
        <w:rPr>
          <w:rFonts w:ascii="Times New Roman" w:eastAsia="Times New Roman" w:hAnsi="Times New Roman" w:cs="Times New Roman"/>
          <w:sz w:val="28"/>
          <w:szCs w:val="28"/>
        </w:rPr>
        <w:t>науково-практичний</w:t>
      </w:r>
      <w:proofErr w:type="spellEnd"/>
      <w:r w:rsidRPr="00B75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5AF8"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 w:rsidRPr="00B75AF8">
        <w:rPr>
          <w:rFonts w:ascii="Times New Roman" w:eastAsia="Times New Roman" w:hAnsi="Times New Roman" w:cs="Times New Roman"/>
          <w:sz w:val="28"/>
          <w:szCs w:val="28"/>
        </w:rPr>
        <w:t xml:space="preserve">: у 2 т. / О. М. </w:t>
      </w:r>
      <w:proofErr w:type="spellStart"/>
      <w:r w:rsidRPr="00B75AF8">
        <w:rPr>
          <w:rFonts w:ascii="Times New Roman" w:eastAsia="Times New Roman" w:hAnsi="Times New Roman" w:cs="Times New Roman"/>
          <w:sz w:val="28"/>
          <w:szCs w:val="28"/>
        </w:rPr>
        <w:t>Бандурка</w:t>
      </w:r>
      <w:proofErr w:type="spellEnd"/>
      <w:r w:rsidRPr="00B75AF8">
        <w:rPr>
          <w:rFonts w:ascii="Times New Roman" w:eastAsia="Times New Roman" w:hAnsi="Times New Roman" w:cs="Times New Roman"/>
          <w:sz w:val="28"/>
          <w:szCs w:val="28"/>
        </w:rPr>
        <w:t xml:space="preserve">, Є. М. </w:t>
      </w:r>
      <w:proofErr w:type="spellStart"/>
      <w:r w:rsidRPr="00B75AF8">
        <w:rPr>
          <w:rFonts w:ascii="Times New Roman" w:eastAsia="Times New Roman" w:hAnsi="Times New Roman" w:cs="Times New Roman"/>
          <w:sz w:val="28"/>
          <w:szCs w:val="28"/>
        </w:rPr>
        <w:t>Блажівський</w:t>
      </w:r>
      <w:proofErr w:type="spellEnd"/>
      <w:r w:rsidRPr="00B75AF8">
        <w:rPr>
          <w:rFonts w:ascii="Times New Roman" w:eastAsia="Times New Roman" w:hAnsi="Times New Roman" w:cs="Times New Roman"/>
          <w:sz w:val="28"/>
          <w:szCs w:val="28"/>
        </w:rPr>
        <w:t xml:space="preserve">, Є. П. </w:t>
      </w:r>
      <w:proofErr w:type="spellStart"/>
      <w:r w:rsidRPr="00B75AF8">
        <w:rPr>
          <w:rFonts w:ascii="Times New Roman" w:eastAsia="Times New Roman" w:hAnsi="Times New Roman" w:cs="Times New Roman"/>
          <w:sz w:val="28"/>
          <w:szCs w:val="28"/>
        </w:rPr>
        <w:t>Бурдоль</w:t>
      </w:r>
      <w:proofErr w:type="spellEnd"/>
      <w:r w:rsidRPr="00B75AF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75AF8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B75AF8">
        <w:rPr>
          <w:rFonts w:ascii="Times New Roman" w:eastAsia="Times New Roman" w:hAnsi="Times New Roman" w:cs="Times New Roman"/>
          <w:sz w:val="28"/>
          <w:szCs w:val="28"/>
        </w:rPr>
        <w:t xml:space="preserve">.; за </w:t>
      </w:r>
      <w:proofErr w:type="spellStart"/>
      <w:r w:rsidRPr="00B75AF8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B75AF8">
        <w:rPr>
          <w:rFonts w:ascii="Times New Roman" w:eastAsia="Times New Roman" w:hAnsi="Times New Roman" w:cs="Times New Roman"/>
          <w:sz w:val="28"/>
          <w:szCs w:val="28"/>
        </w:rPr>
        <w:t>. ред.</w:t>
      </w:r>
      <w:r w:rsidRPr="00B75AF8">
        <w:rPr>
          <w:rFonts w:ascii="Times New Roman" w:hAnsi="Times New Roman" w:cs="Times New Roman"/>
          <w:sz w:val="28"/>
          <w:szCs w:val="28"/>
        </w:rPr>
        <w:t xml:space="preserve"> В. Я. </w:t>
      </w:r>
      <w:proofErr w:type="spellStart"/>
      <w:r w:rsidRPr="00B75AF8"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 w:rsidRPr="00B75A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75AF8">
        <w:rPr>
          <w:rFonts w:ascii="Times New Roman" w:hAnsi="Times New Roman" w:cs="Times New Roman"/>
          <w:sz w:val="28"/>
          <w:szCs w:val="28"/>
        </w:rPr>
        <w:t xml:space="preserve"> А. В. Портнова. X.: Право, 2017. Т. 1. </w:t>
      </w:r>
      <w:r w:rsidRPr="00B75AF8">
        <w:rPr>
          <w:rFonts w:ascii="Times New Roman" w:eastAsia="Times New Roman" w:hAnsi="Times New Roman" w:cs="Times New Roman"/>
          <w:sz w:val="28"/>
          <w:szCs w:val="28"/>
        </w:rPr>
        <w:t xml:space="preserve">768 с. </w:t>
      </w:r>
    </w:p>
    <w:p w14:paraId="233CBCF5" w14:textId="77777777" w:rsidR="001613D7" w:rsidRPr="0008466A" w:rsidRDefault="001613D7" w:rsidP="001613D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Кримінальний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процесуальний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науково-практичний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/ за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>. ред. В. Г. Гончарен</w:t>
      </w:r>
      <w:r>
        <w:rPr>
          <w:rFonts w:ascii="Times New Roman" w:hAnsi="Times New Roman" w:cs="Times New Roman"/>
          <w:sz w:val="28"/>
          <w:szCs w:val="28"/>
        </w:rPr>
        <w:t xml:space="preserve">ка, В. Т. Нора, М.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1224 с. </w:t>
      </w:r>
    </w:p>
    <w:p w14:paraId="6C29BC52" w14:textId="77777777" w:rsidR="001613D7" w:rsidRPr="00F5276D" w:rsidRDefault="001613D7" w:rsidP="001613D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BB7">
        <w:rPr>
          <w:rStyle w:val="aa"/>
          <w:sz w:val="28"/>
          <w:szCs w:val="28"/>
        </w:rPr>
        <w:t xml:space="preserve"> </w:t>
      </w:r>
      <w:proofErr w:type="spellStart"/>
      <w:r w:rsidRPr="001613D7">
        <w:rPr>
          <w:rStyle w:val="aa"/>
          <w:rFonts w:ascii="Times New Roman" w:hAnsi="Times New Roman" w:cs="Times New Roman"/>
          <w:b w:val="0"/>
          <w:sz w:val="28"/>
          <w:szCs w:val="28"/>
        </w:rPr>
        <w:t>Кримінальний</w:t>
      </w:r>
      <w:proofErr w:type="spellEnd"/>
      <w:r w:rsidRPr="001613D7">
        <w:rPr>
          <w:rStyle w:val="aa"/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питаннях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08466A">
        <w:rPr>
          <w:rFonts w:ascii="Times New Roman" w:eastAsia="Times New Roman" w:hAnsi="Times New Roman" w:cs="Times New Roman"/>
          <w:sz w:val="28"/>
          <w:szCs w:val="28"/>
        </w:rPr>
        <w:t>відповідях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66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8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84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466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8466A">
        <w:rPr>
          <w:rFonts w:ascii="Times New Roman" w:hAnsi="Times New Roman" w:cs="Times New Roman"/>
          <w:sz w:val="28"/>
          <w:szCs w:val="28"/>
        </w:rPr>
        <w:t xml:space="preserve">. / Л. Д. Удалова та </w:t>
      </w:r>
      <w:proofErr w:type="spellStart"/>
      <w:r w:rsidRPr="0008466A"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466A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Скіф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; Х. : Бурун и К, 2017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466A">
        <w:rPr>
          <w:rFonts w:ascii="Times New Roman" w:eastAsia="Times New Roman" w:hAnsi="Times New Roman" w:cs="Times New Roman"/>
          <w:sz w:val="28"/>
          <w:szCs w:val="28"/>
        </w:rPr>
        <w:t>256 с.</w:t>
      </w:r>
    </w:p>
    <w:p w14:paraId="182A9445" w14:textId="77777777" w:rsidR="00A17B93" w:rsidRPr="00A17B93" w:rsidRDefault="00C34BA4" w:rsidP="00431259">
      <w:pPr>
        <w:pStyle w:val="ab"/>
        <w:widowControl w:val="0"/>
        <w:numPr>
          <w:ilvl w:val="0"/>
          <w:numId w:val="4"/>
        </w:numPr>
        <w:tabs>
          <w:tab w:val="left" w:pos="6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B93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="00A17B93" w:rsidRPr="00A17B9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7B93">
        <w:rPr>
          <w:rFonts w:ascii="Times New Roman" w:hAnsi="Times New Roman" w:cs="Times New Roman"/>
          <w:sz w:val="28"/>
          <w:szCs w:val="28"/>
          <w:lang w:val="uk-UA"/>
        </w:rPr>
        <w:t xml:space="preserve">янець О.О. Особливості  </w:t>
      </w:r>
      <w:r w:rsidR="00A17B93" w:rsidRPr="00A17B93">
        <w:rPr>
          <w:rFonts w:ascii="Times New Roman" w:hAnsi="Times New Roman" w:cs="Times New Roman"/>
          <w:sz w:val="28"/>
          <w:szCs w:val="28"/>
          <w:lang w:val="uk-UA"/>
        </w:rPr>
        <w:t xml:space="preserve">процесу надання матеріалів досудового розслідування для ознайомлення сторонам кримінального провадження до </w:t>
      </w:r>
      <w:r w:rsidR="00A17B93" w:rsidRPr="00A17B93">
        <w:rPr>
          <w:rFonts w:ascii="Times New Roman" w:hAnsi="Times New Roman" w:cs="Times New Roman"/>
          <w:sz w:val="28"/>
          <w:szCs w:val="28"/>
          <w:lang w:val="uk-UA"/>
        </w:rPr>
        <w:lastRenderedPageBreak/>
        <w:t>його завершення</w:t>
      </w:r>
      <w:r w:rsidR="00A17B93">
        <w:rPr>
          <w:rFonts w:ascii="Times New Roman" w:hAnsi="Times New Roman" w:cs="Times New Roman"/>
          <w:sz w:val="28"/>
          <w:szCs w:val="28"/>
          <w:lang w:val="uk-UA"/>
        </w:rPr>
        <w:t xml:space="preserve"> / О.О. Лук</w:t>
      </w:r>
      <w:r w:rsidR="00A17B93" w:rsidRPr="00A17B9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7B93">
        <w:rPr>
          <w:rFonts w:ascii="Times New Roman" w:hAnsi="Times New Roman" w:cs="Times New Roman"/>
          <w:sz w:val="28"/>
          <w:szCs w:val="28"/>
          <w:lang w:val="uk-UA"/>
        </w:rPr>
        <w:t xml:space="preserve">янець // </w:t>
      </w:r>
      <w:r w:rsidR="00A17B93" w:rsidRPr="00A17B93">
        <w:rPr>
          <w:rFonts w:ascii="Times New Roman" w:hAnsi="Times New Roman" w:cs="Times New Roman"/>
          <w:sz w:val="28"/>
          <w:szCs w:val="28"/>
          <w:lang w:val="uk-UA"/>
        </w:rPr>
        <w:t>Вісник Академії адвокатури України. 2015. № 33. С.132-137.</w:t>
      </w:r>
    </w:p>
    <w:p w14:paraId="3486E5EC" w14:textId="77777777" w:rsidR="003C6E98" w:rsidRPr="003C6E98" w:rsidRDefault="003C6E98" w:rsidP="003C6E98">
      <w:pPr>
        <w:pStyle w:val="ab"/>
        <w:widowControl w:val="0"/>
        <w:numPr>
          <w:ilvl w:val="0"/>
          <w:numId w:val="4"/>
        </w:numPr>
        <w:tabs>
          <w:tab w:val="left" w:pos="6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Pr="003C6E98">
        <w:rPr>
          <w:rFonts w:ascii="Times New Roman" w:hAnsi="Times New Roman" w:cs="Times New Roman"/>
          <w:sz w:val="28"/>
          <w:szCs w:val="28"/>
        </w:rPr>
        <w:t xml:space="preserve">Остапенко О. Є. </w:t>
      </w:r>
      <w:proofErr w:type="spellStart"/>
      <w:r w:rsidRPr="003C6E98">
        <w:rPr>
          <w:rFonts w:ascii="Times New Roman" w:hAnsi="Times New Roman" w:cs="Times New Roman"/>
          <w:sz w:val="28"/>
          <w:szCs w:val="28"/>
        </w:rPr>
        <w:t>Недопустимість</w:t>
      </w:r>
      <w:proofErr w:type="spellEnd"/>
      <w:r w:rsidRPr="003C6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E98">
        <w:rPr>
          <w:rFonts w:ascii="Times New Roman" w:hAnsi="Times New Roman" w:cs="Times New Roman"/>
          <w:sz w:val="28"/>
          <w:szCs w:val="28"/>
        </w:rPr>
        <w:t>розголошення</w:t>
      </w:r>
      <w:proofErr w:type="spellEnd"/>
      <w:r w:rsidRPr="003C6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E98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3C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E98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3C6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E9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3C6E9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C6E98">
        <w:rPr>
          <w:rFonts w:ascii="Times New Roman" w:hAnsi="Times New Roman" w:cs="Times New Roman"/>
          <w:sz w:val="28"/>
          <w:szCs w:val="28"/>
        </w:rPr>
        <w:t>гарантія</w:t>
      </w:r>
      <w:proofErr w:type="spellEnd"/>
      <w:r w:rsidRPr="003C6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E9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C6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E98">
        <w:rPr>
          <w:rFonts w:ascii="Times New Roman" w:hAnsi="Times New Roman" w:cs="Times New Roman"/>
          <w:sz w:val="28"/>
          <w:szCs w:val="28"/>
        </w:rPr>
        <w:t>нотаріальної</w:t>
      </w:r>
      <w:proofErr w:type="spellEnd"/>
      <w:r w:rsidRPr="003C6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E98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3C6E98">
        <w:rPr>
          <w:rFonts w:ascii="Times New Roman" w:hAnsi="Times New Roman" w:cs="Times New Roman"/>
          <w:sz w:val="28"/>
          <w:szCs w:val="28"/>
        </w:rPr>
        <w:t xml:space="preserve"> /</w:t>
      </w:r>
      <w:r w:rsidRPr="003C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E98">
        <w:rPr>
          <w:rFonts w:ascii="Times New Roman" w:hAnsi="Times New Roman" w:cs="Times New Roman"/>
          <w:sz w:val="28"/>
          <w:szCs w:val="28"/>
        </w:rPr>
        <w:t xml:space="preserve">О. Є. Остапенко // </w:t>
      </w:r>
      <w:proofErr w:type="spellStart"/>
      <w:r w:rsidRPr="003C6E98">
        <w:rPr>
          <w:rFonts w:ascii="Times New Roman" w:hAnsi="Times New Roman" w:cs="Times New Roman"/>
          <w:sz w:val="28"/>
          <w:szCs w:val="28"/>
        </w:rPr>
        <w:t>Митна</w:t>
      </w:r>
      <w:proofErr w:type="spellEnd"/>
      <w:r w:rsidRPr="003C6E98">
        <w:rPr>
          <w:rFonts w:ascii="Times New Roman" w:hAnsi="Times New Roman" w:cs="Times New Roman"/>
          <w:sz w:val="28"/>
          <w:szCs w:val="28"/>
        </w:rPr>
        <w:t xml:space="preserve"> справа. </w:t>
      </w:r>
      <w:r w:rsidRPr="003C6E98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C6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C6E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6E98">
        <w:rPr>
          <w:rFonts w:ascii="Times New Roman" w:hAnsi="Times New Roman" w:cs="Times New Roman"/>
          <w:sz w:val="28"/>
          <w:szCs w:val="28"/>
        </w:rPr>
        <w:t>. С. 154</w:t>
      </w:r>
      <w:r w:rsidRPr="003C6E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C6E98">
        <w:rPr>
          <w:rFonts w:ascii="Times New Roman" w:hAnsi="Times New Roman" w:cs="Times New Roman"/>
          <w:sz w:val="28"/>
          <w:szCs w:val="28"/>
        </w:rPr>
        <w:t>158.</w:t>
      </w:r>
    </w:p>
    <w:p w14:paraId="362F53D2" w14:textId="77777777" w:rsidR="003C6E98" w:rsidRPr="003C6E98" w:rsidRDefault="003C6E98" w:rsidP="003C6E98">
      <w:pPr>
        <w:pStyle w:val="ab"/>
        <w:widowControl w:val="0"/>
        <w:numPr>
          <w:ilvl w:val="0"/>
          <w:numId w:val="4"/>
        </w:numPr>
        <w:tabs>
          <w:tab w:val="left" w:pos="6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E98">
        <w:rPr>
          <w:rFonts w:ascii="Times New Roman" w:hAnsi="Times New Roman" w:cs="Times New Roman"/>
          <w:sz w:val="28"/>
          <w:szCs w:val="28"/>
          <w:lang w:val="uk-UA"/>
        </w:rPr>
        <w:t>Осауленко</w:t>
      </w:r>
      <w:proofErr w:type="spellEnd"/>
      <w:r w:rsidRPr="003C6E98">
        <w:rPr>
          <w:rFonts w:ascii="Times New Roman" w:hAnsi="Times New Roman" w:cs="Times New Roman"/>
          <w:sz w:val="28"/>
          <w:szCs w:val="28"/>
          <w:lang w:val="uk-UA"/>
        </w:rPr>
        <w:t xml:space="preserve"> О.А.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Кримінальні процесуальні гарантії нерозголошення відомостей досудового розслідування /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Осауленко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Юридична наука. 2015. № 7. С.185-193.</w:t>
      </w:r>
    </w:p>
    <w:p w14:paraId="50AF64E6" w14:textId="77777777" w:rsidR="003C6E98" w:rsidRPr="008536D1" w:rsidRDefault="001613D7" w:rsidP="001613D7">
      <w:pPr>
        <w:pStyle w:val="ab"/>
        <w:widowControl w:val="0"/>
        <w:numPr>
          <w:ilvl w:val="0"/>
          <w:numId w:val="4"/>
        </w:numPr>
        <w:tabs>
          <w:tab w:val="left" w:pos="6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  <w:lang w:val="uk-UA"/>
        </w:rPr>
        <w:t>Полонова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  <w:lang w:val="uk-UA"/>
        </w:rPr>
        <w:t xml:space="preserve"> Н.І. </w:t>
      </w:r>
      <w:bookmarkStart w:id="1" w:name="bookmark0"/>
      <w:r w:rsidR="003C6E98" w:rsidRPr="001613D7">
        <w:rPr>
          <w:rFonts w:ascii="Times New Roman" w:hAnsi="Times New Roman" w:cs="Times New Roman"/>
          <w:sz w:val="28"/>
          <w:szCs w:val="28"/>
          <w:lang w:val="uk-UA"/>
        </w:rPr>
        <w:t xml:space="preserve">Місце таємниці досудового розслідування серед інших таємниць, охоронюваних законом про кримінальну відповідальність / Н.І.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  <w:lang w:val="uk-UA"/>
        </w:rPr>
        <w:t>Полонова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  <w:lang w:val="uk-UA"/>
        </w:rPr>
        <w:t xml:space="preserve"> // Юридичний науковий електронний журнал. 2017. № 2. С.138-141.</w:t>
      </w:r>
    </w:p>
    <w:p w14:paraId="73BE9B93" w14:textId="77777777" w:rsidR="008536D1" w:rsidRPr="00F43ACD" w:rsidRDefault="008536D1" w:rsidP="001613D7">
      <w:pPr>
        <w:pStyle w:val="ab"/>
        <w:widowControl w:val="0"/>
        <w:numPr>
          <w:ilvl w:val="0"/>
          <w:numId w:val="4"/>
        </w:numPr>
        <w:tabs>
          <w:tab w:val="left" w:pos="6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lang w:val="uk-UA"/>
        </w:rPr>
        <w:t xml:space="preserve"> </w:t>
      </w:r>
      <w:r w:rsidRPr="00F43AC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3259B1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Європейського суду з прав людини </w:t>
      </w:r>
      <w:r w:rsidRPr="00F43AC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43ACD">
        <w:rPr>
          <w:rFonts w:ascii="Times New Roman" w:hAnsi="Times New Roman" w:cs="Times New Roman"/>
          <w:sz w:val="28"/>
          <w:szCs w:val="28"/>
          <w:lang w:val="uk-UA"/>
        </w:rPr>
        <w:t>Матановіч</w:t>
      </w:r>
      <w:proofErr w:type="spellEnd"/>
      <w:r w:rsidRPr="00F43ACD">
        <w:rPr>
          <w:rFonts w:ascii="Times New Roman" w:hAnsi="Times New Roman" w:cs="Times New Roman"/>
          <w:sz w:val="28"/>
          <w:szCs w:val="28"/>
          <w:lang w:val="uk-UA"/>
        </w:rPr>
        <w:t xml:space="preserve"> проти Хорватії» </w:t>
      </w:r>
      <w:r w:rsidR="003259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259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259B1" w:rsidRPr="00325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3AC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43ACD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F43ACD">
        <w:rPr>
          <w:rFonts w:ascii="Times New Roman" w:hAnsi="Times New Roman" w:cs="Times New Roman"/>
          <w:sz w:val="28"/>
          <w:szCs w:val="28"/>
        </w:rPr>
        <w:t>unba</w:t>
      </w:r>
      <w:proofErr w:type="spellEnd"/>
      <w:r w:rsidRPr="00F43AC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43ACD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F43AC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43ACD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F43AC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43ACD">
        <w:rPr>
          <w:rFonts w:ascii="Times New Roman" w:hAnsi="Times New Roman" w:cs="Times New Roman"/>
          <w:sz w:val="28"/>
          <w:szCs w:val="28"/>
        </w:rPr>
        <w:t>assets</w:t>
      </w:r>
      <w:proofErr w:type="spellEnd"/>
      <w:r w:rsidRPr="00F43AC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43ACD">
        <w:rPr>
          <w:rFonts w:ascii="Times New Roman" w:hAnsi="Times New Roman" w:cs="Times New Roman"/>
          <w:sz w:val="28"/>
          <w:szCs w:val="28"/>
        </w:rPr>
        <w:t>uploads</w:t>
      </w:r>
      <w:proofErr w:type="spellEnd"/>
      <w:r w:rsidRPr="00F43AC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F43ACD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F43AC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259B1" w:rsidRPr="00325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3ACD">
        <w:rPr>
          <w:rFonts w:ascii="Times New Roman" w:hAnsi="Times New Roman" w:cs="Times New Roman"/>
          <w:sz w:val="28"/>
          <w:szCs w:val="28"/>
        </w:rPr>
        <w:t>Pereklad</w:t>
      </w:r>
      <w:proofErr w:type="spellEnd"/>
      <w:r w:rsidRPr="00F43AC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259B1" w:rsidRPr="00325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3ACD">
        <w:rPr>
          <w:rFonts w:ascii="Times New Roman" w:hAnsi="Times New Roman" w:cs="Times New Roman"/>
          <w:sz w:val="28"/>
          <w:szCs w:val="28"/>
        </w:rPr>
        <w:t>rishennya</w:t>
      </w:r>
      <w:proofErr w:type="spellEnd"/>
      <w:r w:rsidRPr="00F43AC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259B1" w:rsidRPr="00325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3ACD">
        <w:rPr>
          <w:rFonts w:ascii="Times New Roman" w:hAnsi="Times New Roman" w:cs="Times New Roman"/>
          <w:sz w:val="28"/>
          <w:szCs w:val="28"/>
        </w:rPr>
        <w:t>evr</w:t>
      </w:r>
      <w:proofErr w:type="spellEnd"/>
      <w:r w:rsidRPr="00F43AC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259B1" w:rsidRPr="00325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3ACD">
        <w:rPr>
          <w:rFonts w:ascii="Times New Roman" w:hAnsi="Times New Roman" w:cs="Times New Roman"/>
          <w:sz w:val="28"/>
          <w:szCs w:val="28"/>
        </w:rPr>
        <w:t>sudu</w:t>
      </w:r>
      <w:proofErr w:type="spellEnd"/>
      <w:r w:rsidRPr="00F43ACD">
        <w:rPr>
          <w:rFonts w:ascii="Times New Roman" w:hAnsi="Times New Roman" w:cs="Times New Roman"/>
          <w:sz w:val="28"/>
          <w:szCs w:val="28"/>
          <w:lang w:val="uk-UA"/>
        </w:rPr>
        <w:t>_13072017.</w:t>
      </w:r>
      <w:proofErr w:type="spellStart"/>
      <w:r w:rsidRPr="00F43AC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3259B1" w:rsidRPr="003259B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259B1">
        <w:rPr>
          <w:rFonts w:ascii="Times New Roman" w:hAnsi="Times New Roman" w:cs="Times New Roman"/>
          <w:sz w:val="28"/>
          <w:szCs w:val="28"/>
          <w:lang w:val="uk-UA"/>
        </w:rPr>
        <w:t>дата звернення 17.09.2019).</w:t>
      </w:r>
    </w:p>
    <w:bookmarkEnd w:id="1"/>
    <w:p w14:paraId="7263564D" w14:textId="77777777" w:rsidR="00431259" w:rsidRDefault="001613D7" w:rsidP="001613D7">
      <w:pPr>
        <w:pStyle w:val="ab"/>
        <w:widowControl w:val="0"/>
        <w:numPr>
          <w:ilvl w:val="0"/>
          <w:numId w:val="4"/>
        </w:numPr>
        <w:tabs>
          <w:tab w:val="left" w:pos="620"/>
        </w:tabs>
        <w:spacing w:after="0" w:line="360" w:lineRule="auto"/>
        <w:jc w:val="both"/>
        <w:rPr>
          <w:rStyle w:val="8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31259" w:rsidRPr="001613D7">
        <w:rPr>
          <w:rStyle w:val="8"/>
          <w:rFonts w:eastAsiaTheme="minorEastAsia"/>
          <w:sz w:val="28"/>
          <w:szCs w:val="28"/>
        </w:rPr>
        <w:t>Тагієв</w:t>
      </w:r>
      <w:proofErr w:type="spellEnd"/>
      <w:r w:rsidR="00431259" w:rsidRPr="001613D7">
        <w:rPr>
          <w:rStyle w:val="8"/>
          <w:rFonts w:eastAsiaTheme="minorEastAsia"/>
          <w:sz w:val="28"/>
          <w:szCs w:val="28"/>
        </w:rPr>
        <w:t xml:space="preserve"> С.Р. Правове регулювання застосування режиму секретності під час проведення негласних слідчих (розшукових)  дій / С.Р. </w:t>
      </w:r>
      <w:proofErr w:type="spellStart"/>
      <w:r w:rsidR="00431259" w:rsidRPr="001613D7">
        <w:rPr>
          <w:rStyle w:val="8"/>
          <w:rFonts w:eastAsiaTheme="minorEastAsia"/>
          <w:sz w:val="28"/>
          <w:szCs w:val="28"/>
        </w:rPr>
        <w:t>Тагієв</w:t>
      </w:r>
      <w:proofErr w:type="spellEnd"/>
      <w:r w:rsidR="00431259" w:rsidRPr="001613D7">
        <w:rPr>
          <w:rStyle w:val="8"/>
          <w:rFonts w:eastAsiaTheme="minorEastAsia"/>
          <w:sz w:val="28"/>
          <w:szCs w:val="28"/>
        </w:rPr>
        <w:t xml:space="preserve"> // науковий вісник НАВС. 2015.№ 1. С.166-172.</w:t>
      </w:r>
    </w:p>
    <w:p w14:paraId="67F2CA92" w14:textId="77777777" w:rsidR="00362484" w:rsidRDefault="001613D7" w:rsidP="001613D7">
      <w:pPr>
        <w:pStyle w:val="ab"/>
        <w:widowControl w:val="0"/>
        <w:numPr>
          <w:ilvl w:val="0"/>
          <w:numId w:val="4"/>
        </w:numPr>
        <w:tabs>
          <w:tab w:val="left" w:pos="620"/>
        </w:tabs>
        <w:spacing w:after="0" w:line="360" w:lineRule="auto"/>
        <w:jc w:val="both"/>
        <w:rPr>
          <w:rStyle w:val="8"/>
          <w:rFonts w:eastAsiaTheme="minorEastAsia"/>
          <w:sz w:val="28"/>
          <w:szCs w:val="28"/>
        </w:rPr>
      </w:pPr>
      <w:r>
        <w:rPr>
          <w:rStyle w:val="8"/>
          <w:rFonts w:eastAsiaTheme="minorEastAsia"/>
          <w:sz w:val="28"/>
          <w:szCs w:val="28"/>
        </w:rPr>
        <w:t xml:space="preserve"> </w:t>
      </w:r>
      <w:proofErr w:type="spellStart"/>
      <w:r w:rsidR="00362484" w:rsidRPr="001613D7">
        <w:rPr>
          <w:rStyle w:val="8"/>
          <w:rFonts w:eastAsiaTheme="minorEastAsia"/>
          <w:sz w:val="28"/>
          <w:szCs w:val="28"/>
        </w:rPr>
        <w:t>Тертишник</w:t>
      </w:r>
      <w:proofErr w:type="spellEnd"/>
      <w:r w:rsidR="00362484" w:rsidRPr="001613D7">
        <w:rPr>
          <w:rStyle w:val="8"/>
          <w:rFonts w:eastAsiaTheme="minorEastAsia"/>
          <w:sz w:val="28"/>
          <w:szCs w:val="28"/>
        </w:rPr>
        <w:t xml:space="preserve"> В.М. Науково-практичний коментар до Кримінально-процесуального кодексу України / В.М. </w:t>
      </w:r>
      <w:proofErr w:type="spellStart"/>
      <w:r w:rsidR="00362484" w:rsidRPr="001613D7">
        <w:rPr>
          <w:rStyle w:val="8"/>
          <w:rFonts w:eastAsiaTheme="minorEastAsia"/>
          <w:sz w:val="28"/>
          <w:szCs w:val="28"/>
        </w:rPr>
        <w:t>Тертишник</w:t>
      </w:r>
      <w:proofErr w:type="spellEnd"/>
      <w:r w:rsidR="00362484" w:rsidRPr="001613D7">
        <w:rPr>
          <w:rStyle w:val="8"/>
          <w:rFonts w:eastAsiaTheme="minorEastAsia"/>
          <w:sz w:val="28"/>
          <w:szCs w:val="28"/>
        </w:rPr>
        <w:t xml:space="preserve">. </w:t>
      </w:r>
      <w:r w:rsidR="00362484" w:rsidRPr="001613D7">
        <w:rPr>
          <w:rStyle w:val="81pt"/>
          <w:rFonts w:eastAsiaTheme="minorEastAsia"/>
          <w:sz w:val="28"/>
          <w:szCs w:val="28"/>
        </w:rPr>
        <w:t>К.:А.</w:t>
      </w:r>
      <w:r w:rsidR="00362484" w:rsidRPr="001613D7">
        <w:rPr>
          <w:rStyle w:val="8"/>
          <w:rFonts w:eastAsiaTheme="minorEastAsia"/>
          <w:sz w:val="28"/>
          <w:szCs w:val="28"/>
        </w:rPr>
        <w:t xml:space="preserve"> </w:t>
      </w:r>
      <w:r w:rsidR="00362484" w:rsidRPr="001613D7">
        <w:rPr>
          <w:rStyle w:val="8"/>
          <w:rFonts w:eastAsiaTheme="minorEastAsia"/>
          <w:sz w:val="28"/>
          <w:szCs w:val="28"/>
          <w:lang w:bidi="ru-RU"/>
        </w:rPr>
        <w:t xml:space="preserve">С. </w:t>
      </w:r>
      <w:r w:rsidR="00362484" w:rsidRPr="001613D7">
        <w:rPr>
          <w:rStyle w:val="8"/>
          <w:rFonts w:eastAsiaTheme="minorEastAsia"/>
          <w:sz w:val="28"/>
          <w:szCs w:val="28"/>
        </w:rPr>
        <w:t>К., 2017. 1056 с.</w:t>
      </w:r>
    </w:p>
    <w:p w14:paraId="685233F4" w14:textId="77777777" w:rsidR="00431259" w:rsidRPr="008536D1" w:rsidRDefault="001613D7" w:rsidP="001613D7">
      <w:pPr>
        <w:pStyle w:val="ab"/>
        <w:widowControl w:val="0"/>
        <w:numPr>
          <w:ilvl w:val="0"/>
          <w:numId w:val="4"/>
        </w:numPr>
        <w:tabs>
          <w:tab w:val="left" w:pos="6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E98" w:rsidRPr="001613D7">
        <w:rPr>
          <w:rFonts w:ascii="Times New Roman" w:hAnsi="Times New Roman" w:cs="Times New Roman"/>
          <w:sz w:val="28"/>
          <w:szCs w:val="28"/>
        </w:rPr>
        <w:t xml:space="preserve">Якубова А. З.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</w:rPr>
        <w:t>Недопустимість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</w:rPr>
        <w:t>розголошення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</w:rPr>
        <w:t xml:space="preserve"> / А. З. Якубова //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</w:rPr>
        <w:t>Луганського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</w:rPr>
        <w:t xml:space="preserve">. ун-ту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</w:rPr>
        <w:t xml:space="preserve">. справ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</w:rPr>
        <w:t xml:space="preserve">. Є. О. </w:t>
      </w:r>
      <w:proofErr w:type="spellStart"/>
      <w:r w:rsidR="003C6E98" w:rsidRPr="001613D7">
        <w:rPr>
          <w:rFonts w:ascii="Times New Roman" w:hAnsi="Times New Roman" w:cs="Times New Roman"/>
          <w:sz w:val="28"/>
          <w:szCs w:val="28"/>
        </w:rPr>
        <w:t>Дідоренка</w:t>
      </w:r>
      <w:proofErr w:type="spellEnd"/>
      <w:r w:rsidR="003C6E98" w:rsidRPr="001613D7">
        <w:rPr>
          <w:rFonts w:ascii="Times New Roman" w:hAnsi="Times New Roman" w:cs="Times New Roman"/>
          <w:sz w:val="28"/>
          <w:szCs w:val="28"/>
        </w:rPr>
        <w:t>.</w:t>
      </w:r>
      <w:r w:rsidR="003C6E98" w:rsidRPr="001613D7">
        <w:rPr>
          <w:rFonts w:ascii="Times New Roman" w:hAnsi="Times New Roman" w:cs="Times New Roman"/>
          <w:sz w:val="28"/>
          <w:szCs w:val="28"/>
          <w:lang w:val="uk-UA"/>
        </w:rPr>
        <w:t xml:space="preserve">2015. </w:t>
      </w:r>
      <w:r w:rsidR="003C6E98" w:rsidRPr="001613D7">
        <w:rPr>
          <w:rFonts w:ascii="Times New Roman" w:hAnsi="Times New Roman" w:cs="Times New Roman"/>
          <w:sz w:val="28"/>
          <w:szCs w:val="28"/>
        </w:rPr>
        <w:t>№ 3. С.199-209.</w:t>
      </w:r>
    </w:p>
    <w:p w14:paraId="34A00D94" w14:textId="77777777" w:rsidR="008536D1" w:rsidRPr="003259B1" w:rsidRDefault="00117134" w:rsidP="001613D7">
      <w:pPr>
        <w:pStyle w:val="ab"/>
        <w:widowControl w:val="0"/>
        <w:numPr>
          <w:ilvl w:val="0"/>
          <w:numId w:val="4"/>
        </w:numPr>
        <w:tabs>
          <w:tab w:val="left" w:pos="620"/>
        </w:tabs>
        <w:spacing w:after="0" w:line="360" w:lineRule="auto"/>
        <w:jc w:val="both"/>
        <w:rPr>
          <w:rStyle w:val="8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6D1" w:rsidRPr="003259B1">
        <w:rPr>
          <w:rFonts w:ascii="Times New Roman" w:hAnsi="Times New Roman" w:cs="Times New Roman"/>
          <w:sz w:val="28"/>
          <w:szCs w:val="28"/>
          <w:lang w:val="en-US"/>
        </w:rPr>
        <w:t xml:space="preserve">Protecting the right to a fair trial under the </w:t>
      </w:r>
      <w:proofErr w:type="spellStart"/>
      <w:r w:rsidR="008536D1" w:rsidRPr="003259B1">
        <w:rPr>
          <w:rFonts w:ascii="Times New Roman" w:hAnsi="Times New Roman" w:cs="Times New Roman"/>
          <w:sz w:val="28"/>
          <w:szCs w:val="28"/>
          <w:lang w:val="en-US"/>
        </w:rPr>
        <w:t>european</w:t>
      </w:r>
      <w:proofErr w:type="spellEnd"/>
      <w:r w:rsidR="008536D1" w:rsidRPr="003259B1">
        <w:rPr>
          <w:rFonts w:ascii="Times New Roman" w:hAnsi="Times New Roman" w:cs="Times New Roman"/>
          <w:sz w:val="28"/>
          <w:szCs w:val="28"/>
          <w:lang w:val="en-US"/>
        </w:rPr>
        <w:t xml:space="preserve"> convention on human </w:t>
      </w:r>
      <w:proofErr w:type="gramStart"/>
      <w:r w:rsidR="008536D1" w:rsidRPr="003259B1">
        <w:rPr>
          <w:rFonts w:ascii="Times New Roman" w:hAnsi="Times New Roman" w:cs="Times New Roman"/>
          <w:sz w:val="28"/>
          <w:szCs w:val="28"/>
          <w:lang w:val="en-US"/>
        </w:rPr>
        <w:t>rights :</w:t>
      </w:r>
      <w:proofErr w:type="gramEnd"/>
      <w:r w:rsidR="008536D1" w:rsidRPr="003259B1">
        <w:rPr>
          <w:rFonts w:ascii="Times New Roman" w:hAnsi="Times New Roman" w:cs="Times New Roman"/>
          <w:sz w:val="28"/>
          <w:szCs w:val="28"/>
          <w:lang w:val="en-US"/>
        </w:rPr>
        <w:t xml:space="preserve"> a handbook for legal practitioners. 2nd edition, pr</w:t>
      </w:r>
      <w:r w:rsidR="003259B1">
        <w:rPr>
          <w:rFonts w:ascii="Times New Roman" w:hAnsi="Times New Roman" w:cs="Times New Roman"/>
          <w:sz w:val="28"/>
          <w:szCs w:val="28"/>
          <w:lang w:val="en-US"/>
        </w:rPr>
        <w:t xml:space="preserve">epared by </w:t>
      </w:r>
      <w:proofErr w:type="spellStart"/>
      <w:r w:rsidR="003259B1">
        <w:rPr>
          <w:rFonts w:ascii="Times New Roman" w:hAnsi="Times New Roman" w:cs="Times New Roman"/>
          <w:sz w:val="28"/>
          <w:szCs w:val="28"/>
          <w:lang w:val="en-US"/>
        </w:rPr>
        <w:t>Dovydas</w:t>
      </w:r>
      <w:proofErr w:type="spellEnd"/>
      <w:r w:rsidR="003259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59B1">
        <w:rPr>
          <w:rFonts w:ascii="Times New Roman" w:hAnsi="Times New Roman" w:cs="Times New Roman"/>
          <w:sz w:val="28"/>
          <w:szCs w:val="28"/>
          <w:lang w:val="en-US"/>
        </w:rPr>
        <w:t>Vitkauskas</w:t>
      </w:r>
      <w:proofErr w:type="spellEnd"/>
      <w:r w:rsidR="003259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536D1" w:rsidRPr="003259B1">
        <w:rPr>
          <w:rFonts w:ascii="Times New Roman" w:hAnsi="Times New Roman" w:cs="Times New Roman"/>
          <w:sz w:val="28"/>
          <w:szCs w:val="28"/>
          <w:lang w:val="en-US"/>
        </w:rPr>
        <w:t>Council of Europe</w:t>
      </w:r>
      <w:r w:rsidR="003259B1">
        <w:rPr>
          <w:rFonts w:ascii="Times New Roman" w:hAnsi="Times New Roman" w:cs="Times New Roman"/>
          <w:sz w:val="28"/>
          <w:szCs w:val="28"/>
          <w:lang w:val="en-US"/>
        </w:rPr>
        <w:t xml:space="preserve">, 2nd edition September 2017. </w:t>
      </w:r>
      <w:r w:rsidR="008536D1" w:rsidRPr="003259B1">
        <w:rPr>
          <w:rFonts w:ascii="Times New Roman" w:hAnsi="Times New Roman" w:cs="Times New Roman"/>
          <w:sz w:val="28"/>
          <w:szCs w:val="28"/>
          <w:lang w:val="en-US"/>
        </w:rPr>
        <w:t xml:space="preserve">165 p. </w:t>
      </w:r>
    </w:p>
    <w:sectPr w:rsidR="008536D1" w:rsidRPr="003259B1" w:rsidSect="00245AF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573D3" w14:textId="77777777" w:rsidR="004B60EF" w:rsidRDefault="004B60EF" w:rsidP="00245AFD">
      <w:pPr>
        <w:spacing w:after="0" w:line="240" w:lineRule="auto"/>
      </w:pPr>
      <w:r>
        <w:separator/>
      </w:r>
    </w:p>
  </w:endnote>
  <w:endnote w:type="continuationSeparator" w:id="0">
    <w:p w14:paraId="7D353F6C" w14:textId="77777777" w:rsidR="004B60EF" w:rsidRDefault="004B60EF" w:rsidP="0024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B87B9" w14:textId="77777777" w:rsidR="004B60EF" w:rsidRDefault="004B60EF" w:rsidP="00245AFD">
      <w:pPr>
        <w:spacing w:after="0" w:line="240" w:lineRule="auto"/>
      </w:pPr>
      <w:r>
        <w:separator/>
      </w:r>
    </w:p>
  </w:footnote>
  <w:footnote w:type="continuationSeparator" w:id="0">
    <w:p w14:paraId="16222FA8" w14:textId="77777777" w:rsidR="004B60EF" w:rsidRDefault="004B60EF" w:rsidP="0024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8125"/>
    </w:sdtPr>
    <w:sdtEndPr/>
    <w:sdtContent>
      <w:p w14:paraId="27E84E89" w14:textId="77777777" w:rsidR="0045247B" w:rsidRDefault="004B60E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D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199ECF" w14:textId="77777777" w:rsidR="0045247B" w:rsidRDefault="0045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463"/>
    <w:multiLevelType w:val="hybridMultilevel"/>
    <w:tmpl w:val="880E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E97"/>
    <w:multiLevelType w:val="multilevel"/>
    <w:tmpl w:val="6F0A3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C7720"/>
    <w:multiLevelType w:val="multilevel"/>
    <w:tmpl w:val="A0B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93AFD"/>
    <w:multiLevelType w:val="multilevel"/>
    <w:tmpl w:val="8E9A4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6E1487"/>
    <w:multiLevelType w:val="multilevel"/>
    <w:tmpl w:val="8BE44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E66FE"/>
    <w:multiLevelType w:val="hybridMultilevel"/>
    <w:tmpl w:val="50EA818A"/>
    <w:lvl w:ilvl="0" w:tplc="274C16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22F2"/>
    <w:multiLevelType w:val="hybridMultilevel"/>
    <w:tmpl w:val="6326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1507E7"/>
    <w:multiLevelType w:val="hybridMultilevel"/>
    <w:tmpl w:val="50EA818A"/>
    <w:lvl w:ilvl="0" w:tplc="274C16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38A4"/>
    <w:multiLevelType w:val="hybridMultilevel"/>
    <w:tmpl w:val="94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8BC"/>
    <w:multiLevelType w:val="hybridMultilevel"/>
    <w:tmpl w:val="94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2246"/>
    <w:multiLevelType w:val="hybridMultilevel"/>
    <w:tmpl w:val="50EA818A"/>
    <w:lvl w:ilvl="0" w:tplc="274C16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2C68"/>
    <w:multiLevelType w:val="hybridMultilevel"/>
    <w:tmpl w:val="50EA818A"/>
    <w:lvl w:ilvl="0" w:tplc="274C16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75F6C"/>
    <w:multiLevelType w:val="hybridMultilevel"/>
    <w:tmpl w:val="50EA818A"/>
    <w:lvl w:ilvl="0" w:tplc="274C16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028EE"/>
    <w:multiLevelType w:val="hybridMultilevel"/>
    <w:tmpl w:val="50EA818A"/>
    <w:lvl w:ilvl="0" w:tplc="274C16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F202E"/>
    <w:multiLevelType w:val="multilevel"/>
    <w:tmpl w:val="79F89BF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13481"/>
    <w:multiLevelType w:val="hybridMultilevel"/>
    <w:tmpl w:val="CED08A34"/>
    <w:lvl w:ilvl="0" w:tplc="FF74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AB581C"/>
    <w:multiLevelType w:val="hybridMultilevel"/>
    <w:tmpl w:val="50EA818A"/>
    <w:lvl w:ilvl="0" w:tplc="274C16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43CFA"/>
    <w:multiLevelType w:val="multilevel"/>
    <w:tmpl w:val="1C10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16640"/>
    <w:multiLevelType w:val="hybridMultilevel"/>
    <w:tmpl w:val="50EA818A"/>
    <w:lvl w:ilvl="0" w:tplc="274C16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97C02"/>
    <w:multiLevelType w:val="multilevel"/>
    <w:tmpl w:val="7C60E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E5565F"/>
    <w:multiLevelType w:val="hybridMultilevel"/>
    <w:tmpl w:val="CC78927A"/>
    <w:lvl w:ilvl="0" w:tplc="FD54266E">
      <w:start w:val="1"/>
      <w:numFmt w:val="bullet"/>
      <w:lvlText w:val="-"/>
      <w:lvlJc w:val="left"/>
      <w:pPr>
        <w:ind w:left="720" w:hanging="360"/>
      </w:pPr>
      <w:rPr>
        <w:rFonts w:ascii="HelveticaNeueCyr-Roman" w:eastAsia="Times New Roman" w:hAnsi="HelveticaNeueCyr-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C4232"/>
    <w:multiLevelType w:val="multilevel"/>
    <w:tmpl w:val="5A0C0D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62248D"/>
    <w:multiLevelType w:val="hybridMultilevel"/>
    <w:tmpl w:val="50EA818A"/>
    <w:lvl w:ilvl="0" w:tplc="274C16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A52C0"/>
    <w:multiLevelType w:val="multilevel"/>
    <w:tmpl w:val="C6565D4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F375D"/>
    <w:multiLevelType w:val="hybridMultilevel"/>
    <w:tmpl w:val="50EA818A"/>
    <w:lvl w:ilvl="0" w:tplc="274C16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2184D"/>
    <w:multiLevelType w:val="hybridMultilevel"/>
    <w:tmpl w:val="50EA818A"/>
    <w:lvl w:ilvl="0" w:tplc="274C16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26808"/>
    <w:multiLevelType w:val="hybridMultilevel"/>
    <w:tmpl w:val="50EA818A"/>
    <w:lvl w:ilvl="0" w:tplc="274C16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1579A"/>
    <w:multiLevelType w:val="multilevel"/>
    <w:tmpl w:val="06568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8267FA"/>
    <w:multiLevelType w:val="multilevel"/>
    <w:tmpl w:val="79C63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5C145D"/>
    <w:multiLevelType w:val="multilevel"/>
    <w:tmpl w:val="B2723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B01404"/>
    <w:multiLevelType w:val="hybridMultilevel"/>
    <w:tmpl w:val="68DADD96"/>
    <w:lvl w:ilvl="0" w:tplc="69BA7E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B49F9"/>
    <w:multiLevelType w:val="hybridMultilevel"/>
    <w:tmpl w:val="7EC4BFC2"/>
    <w:lvl w:ilvl="0" w:tplc="E40C5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25"/>
  </w:num>
  <w:num w:numId="7">
    <w:abstractNumId w:val="31"/>
  </w:num>
  <w:num w:numId="8">
    <w:abstractNumId w:val="30"/>
  </w:num>
  <w:num w:numId="9">
    <w:abstractNumId w:val="26"/>
  </w:num>
  <w:num w:numId="10">
    <w:abstractNumId w:val="20"/>
  </w:num>
  <w:num w:numId="11">
    <w:abstractNumId w:val="28"/>
  </w:num>
  <w:num w:numId="12">
    <w:abstractNumId w:val="27"/>
  </w:num>
  <w:num w:numId="13">
    <w:abstractNumId w:val="14"/>
  </w:num>
  <w:num w:numId="14">
    <w:abstractNumId w:val="0"/>
  </w:num>
  <w:num w:numId="15">
    <w:abstractNumId w:val="10"/>
  </w:num>
  <w:num w:numId="16">
    <w:abstractNumId w:val="33"/>
  </w:num>
  <w:num w:numId="17">
    <w:abstractNumId w:val="17"/>
  </w:num>
  <w:num w:numId="18">
    <w:abstractNumId w:val="22"/>
  </w:num>
  <w:num w:numId="19">
    <w:abstractNumId w:val="23"/>
  </w:num>
  <w:num w:numId="20">
    <w:abstractNumId w:val="11"/>
  </w:num>
  <w:num w:numId="21">
    <w:abstractNumId w:val="8"/>
  </w:num>
  <w:num w:numId="22">
    <w:abstractNumId w:val="2"/>
  </w:num>
  <w:num w:numId="23">
    <w:abstractNumId w:val="19"/>
  </w:num>
  <w:num w:numId="24">
    <w:abstractNumId w:val="12"/>
  </w:num>
  <w:num w:numId="25">
    <w:abstractNumId w:val="29"/>
  </w:num>
  <w:num w:numId="26">
    <w:abstractNumId w:val="21"/>
  </w:num>
  <w:num w:numId="27">
    <w:abstractNumId w:val="15"/>
  </w:num>
  <w:num w:numId="28">
    <w:abstractNumId w:val="13"/>
  </w:num>
  <w:num w:numId="29">
    <w:abstractNumId w:val="24"/>
  </w:num>
  <w:num w:numId="30">
    <w:abstractNumId w:val="18"/>
  </w:num>
  <w:num w:numId="31">
    <w:abstractNumId w:val="32"/>
  </w:num>
  <w:num w:numId="32">
    <w:abstractNumId w:val="6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4F96"/>
    <w:rsid w:val="0001267B"/>
    <w:rsid w:val="00017F46"/>
    <w:rsid w:val="00033471"/>
    <w:rsid w:val="0003715E"/>
    <w:rsid w:val="00057652"/>
    <w:rsid w:val="00070523"/>
    <w:rsid w:val="000758D9"/>
    <w:rsid w:val="0007638C"/>
    <w:rsid w:val="000908C3"/>
    <w:rsid w:val="0009235C"/>
    <w:rsid w:val="00096D91"/>
    <w:rsid w:val="000A1AD8"/>
    <w:rsid w:val="000A735D"/>
    <w:rsid w:val="000B009D"/>
    <w:rsid w:val="000C2DCB"/>
    <w:rsid w:val="000C4A08"/>
    <w:rsid w:val="000F3AD9"/>
    <w:rsid w:val="001023C2"/>
    <w:rsid w:val="00103A06"/>
    <w:rsid w:val="001065A8"/>
    <w:rsid w:val="00106883"/>
    <w:rsid w:val="001137F3"/>
    <w:rsid w:val="00117134"/>
    <w:rsid w:val="00120C44"/>
    <w:rsid w:val="00124D5A"/>
    <w:rsid w:val="00125052"/>
    <w:rsid w:val="001260CD"/>
    <w:rsid w:val="0013420E"/>
    <w:rsid w:val="00153585"/>
    <w:rsid w:val="001613D7"/>
    <w:rsid w:val="00162604"/>
    <w:rsid w:val="001751BA"/>
    <w:rsid w:val="00177F03"/>
    <w:rsid w:val="001B0785"/>
    <w:rsid w:val="001C406A"/>
    <w:rsid w:val="001C6E77"/>
    <w:rsid w:val="001D2E48"/>
    <w:rsid w:val="001E36AA"/>
    <w:rsid w:val="0021701E"/>
    <w:rsid w:val="00217954"/>
    <w:rsid w:val="00245AFD"/>
    <w:rsid w:val="002633F8"/>
    <w:rsid w:val="0026498C"/>
    <w:rsid w:val="00284D4E"/>
    <w:rsid w:val="00297F0B"/>
    <w:rsid w:val="002A2D22"/>
    <w:rsid w:val="002A6CFD"/>
    <w:rsid w:val="002E6075"/>
    <w:rsid w:val="002F05A5"/>
    <w:rsid w:val="002F3E1F"/>
    <w:rsid w:val="003065E3"/>
    <w:rsid w:val="00310CE6"/>
    <w:rsid w:val="00313952"/>
    <w:rsid w:val="0032018D"/>
    <w:rsid w:val="003259B1"/>
    <w:rsid w:val="00331763"/>
    <w:rsid w:val="003410B3"/>
    <w:rsid w:val="003420D4"/>
    <w:rsid w:val="00362484"/>
    <w:rsid w:val="00363025"/>
    <w:rsid w:val="00376217"/>
    <w:rsid w:val="00381444"/>
    <w:rsid w:val="00383286"/>
    <w:rsid w:val="00395346"/>
    <w:rsid w:val="003A01DB"/>
    <w:rsid w:val="003A2E7B"/>
    <w:rsid w:val="003B0B86"/>
    <w:rsid w:val="003B7239"/>
    <w:rsid w:val="003C6E98"/>
    <w:rsid w:val="003D40EF"/>
    <w:rsid w:val="003F0589"/>
    <w:rsid w:val="004118A0"/>
    <w:rsid w:val="00411EBA"/>
    <w:rsid w:val="00412350"/>
    <w:rsid w:val="00421F5C"/>
    <w:rsid w:val="00431259"/>
    <w:rsid w:val="00431C35"/>
    <w:rsid w:val="0045247B"/>
    <w:rsid w:val="004626E8"/>
    <w:rsid w:val="0046391D"/>
    <w:rsid w:val="00463E9B"/>
    <w:rsid w:val="00477F4A"/>
    <w:rsid w:val="0048558E"/>
    <w:rsid w:val="004B1343"/>
    <w:rsid w:val="004B60EF"/>
    <w:rsid w:val="00507CDA"/>
    <w:rsid w:val="00533D31"/>
    <w:rsid w:val="005509CC"/>
    <w:rsid w:val="00550B4E"/>
    <w:rsid w:val="00552812"/>
    <w:rsid w:val="00570DF5"/>
    <w:rsid w:val="00576CBF"/>
    <w:rsid w:val="00590724"/>
    <w:rsid w:val="005A2B4F"/>
    <w:rsid w:val="005C52A3"/>
    <w:rsid w:val="005E16D3"/>
    <w:rsid w:val="005E1BAE"/>
    <w:rsid w:val="005E437E"/>
    <w:rsid w:val="005F23A5"/>
    <w:rsid w:val="005F2608"/>
    <w:rsid w:val="005F6F79"/>
    <w:rsid w:val="00606A65"/>
    <w:rsid w:val="00611557"/>
    <w:rsid w:val="00615089"/>
    <w:rsid w:val="0061606E"/>
    <w:rsid w:val="0065702E"/>
    <w:rsid w:val="0067123F"/>
    <w:rsid w:val="006A1442"/>
    <w:rsid w:val="006C586D"/>
    <w:rsid w:val="006D76DF"/>
    <w:rsid w:val="006E24C2"/>
    <w:rsid w:val="006E7D35"/>
    <w:rsid w:val="006F7973"/>
    <w:rsid w:val="007028F7"/>
    <w:rsid w:val="007136C2"/>
    <w:rsid w:val="00726D45"/>
    <w:rsid w:val="0073066A"/>
    <w:rsid w:val="00753A05"/>
    <w:rsid w:val="00762A5D"/>
    <w:rsid w:val="0076545F"/>
    <w:rsid w:val="007A3179"/>
    <w:rsid w:val="007B47F8"/>
    <w:rsid w:val="007B54EC"/>
    <w:rsid w:val="007D4527"/>
    <w:rsid w:val="007E58FF"/>
    <w:rsid w:val="008002D8"/>
    <w:rsid w:val="00812162"/>
    <w:rsid w:val="00821933"/>
    <w:rsid w:val="0082347A"/>
    <w:rsid w:val="00830316"/>
    <w:rsid w:val="00832903"/>
    <w:rsid w:val="00833F33"/>
    <w:rsid w:val="008536D1"/>
    <w:rsid w:val="008569CC"/>
    <w:rsid w:val="008729F3"/>
    <w:rsid w:val="008A27B0"/>
    <w:rsid w:val="008B2C05"/>
    <w:rsid w:val="008C6620"/>
    <w:rsid w:val="008D472F"/>
    <w:rsid w:val="008D52AE"/>
    <w:rsid w:val="008D5B79"/>
    <w:rsid w:val="008E0676"/>
    <w:rsid w:val="008F3786"/>
    <w:rsid w:val="00904085"/>
    <w:rsid w:val="009309F8"/>
    <w:rsid w:val="0093568D"/>
    <w:rsid w:val="009430AE"/>
    <w:rsid w:val="009446E8"/>
    <w:rsid w:val="0098701F"/>
    <w:rsid w:val="00994A72"/>
    <w:rsid w:val="009B0574"/>
    <w:rsid w:val="009E0289"/>
    <w:rsid w:val="009E50B2"/>
    <w:rsid w:val="009F26F8"/>
    <w:rsid w:val="00A06C2B"/>
    <w:rsid w:val="00A0718C"/>
    <w:rsid w:val="00A1192E"/>
    <w:rsid w:val="00A17B93"/>
    <w:rsid w:val="00A307F5"/>
    <w:rsid w:val="00A31DC7"/>
    <w:rsid w:val="00A33B72"/>
    <w:rsid w:val="00A420B8"/>
    <w:rsid w:val="00A447BB"/>
    <w:rsid w:val="00A530EF"/>
    <w:rsid w:val="00A60068"/>
    <w:rsid w:val="00A6195E"/>
    <w:rsid w:val="00A715CF"/>
    <w:rsid w:val="00AA3168"/>
    <w:rsid w:val="00AE365A"/>
    <w:rsid w:val="00B03EED"/>
    <w:rsid w:val="00B10AA1"/>
    <w:rsid w:val="00B20344"/>
    <w:rsid w:val="00B236DF"/>
    <w:rsid w:val="00B243DD"/>
    <w:rsid w:val="00B27D1D"/>
    <w:rsid w:val="00B32898"/>
    <w:rsid w:val="00B726A8"/>
    <w:rsid w:val="00B77FDE"/>
    <w:rsid w:val="00B97AD1"/>
    <w:rsid w:val="00BB0626"/>
    <w:rsid w:val="00BB29C0"/>
    <w:rsid w:val="00BB33F8"/>
    <w:rsid w:val="00BC0A19"/>
    <w:rsid w:val="00BC280D"/>
    <w:rsid w:val="00BD15B7"/>
    <w:rsid w:val="00BE00F4"/>
    <w:rsid w:val="00BE3D57"/>
    <w:rsid w:val="00C108B0"/>
    <w:rsid w:val="00C16216"/>
    <w:rsid w:val="00C34BA4"/>
    <w:rsid w:val="00C615F4"/>
    <w:rsid w:val="00C67B81"/>
    <w:rsid w:val="00CA339E"/>
    <w:rsid w:val="00CC3731"/>
    <w:rsid w:val="00CD7248"/>
    <w:rsid w:val="00CF118A"/>
    <w:rsid w:val="00D03094"/>
    <w:rsid w:val="00D06D10"/>
    <w:rsid w:val="00D3700D"/>
    <w:rsid w:val="00D4093C"/>
    <w:rsid w:val="00D41D5B"/>
    <w:rsid w:val="00DB29EE"/>
    <w:rsid w:val="00DC2939"/>
    <w:rsid w:val="00DD259C"/>
    <w:rsid w:val="00DD39C3"/>
    <w:rsid w:val="00DE1EEA"/>
    <w:rsid w:val="00DE7E90"/>
    <w:rsid w:val="00DF2608"/>
    <w:rsid w:val="00E0240A"/>
    <w:rsid w:val="00E27530"/>
    <w:rsid w:val="00E55E3C"/>
    <w:rsid w:val="00E75D31"/>
    <w:rsid w:val="00E76A40"/>
    <w:rsid w:val="00E95076"/>
    <w:rsid w:val="00EA1002"/>
    <w:rsid w:val="00EB32E6"/>
    <w:rsid w:val="00EB4218"/>
    <w:rsid w:val="00ED00A6"/>
    <w:rsid w:val="00ED404D"/>
    <w:rsid w:val="00ED4897"/>
    <w:rsid w:val="00ED534C"/>
    <w:rsid w:val="00EE531D"/>
    <w:rsid w:val="00EE5BFC"/>
    <w:rsid w:val="00EF1AFD"/>
    <w:rsid w:val="00F25BD8"/>
    <w:rsid w:val="00F43ACD"/>
    <w:rsid w:val="00F46D7F"/>
    <w:rsid w:val="00F54446"/>
    <w:rsid w:val="00F640B2"/>
    <w:rsid w:val="00F77B5B"/>
    <w:rsid w:val="00F87AD4"/>
    <w:rsid w:val="00F902FC"/>
    <w:rsid w:val="00F913A3"/>
    <w:rsid w:val="00FC1482"/>
    <w:rsid w:val="00FD7B3B"/>
    <w:rsid w:val="00FE57BC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41A9"/>
  <w15:docId w15:val="{7EB728D3-F1D0-4BA6-BC33-68C843BE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AFD"/>
  </w:style>
  <w:style w:type="paragraph" w:styleId="a7">
    <w:name w:val="footer"/>
    <w:basedOn w:val="a"/>
    <w:link w:val="a8"/>
    <w:uiPriority w:val="99"/>
    <w:semiHidden/>
    <w:unhideWhenUsed/>
    <w:rsid w:val="0024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AFD"/>
  </w:style>
  <w:style w:type="character" w:styleId="a9">
    <w:name w:val="Hyperlink"/>
    <w:basedOn w:val="a0"/>
    <w:uiPriority w:val="99"/>
    <w:unhideWhenUsed/>
    <w:rsid w:val="00245AFD"/>
    <w:rPr>
      <w:color w:val="0000FF"/>
      <w:u w:val="single"/>
    </w:rPr>
  </w:style>
  <w:style w:type="character" w:styleId="aa">
    <w:name w:val="Strong"/>
    <w:basedOn w:val="a0"/>
    <w:uiPriority w:val="22"/>
    <w:qFormat/>
    <w:rsid w:val="00245AFD"/>
    <w:rPr>
      <w:b/>
      <w:bCs/>
    </w:rPr>
  </w:style>
  <w:style w:type="paragraph" w:styleId="ab">
    <w:name w:val="List Paragraph"/>
    <w:basedOn w:val="a"/>
    <w:uiPriority w:val="34"/>
    <w:qFormat/>
    <w:rsid w:val="00245AFD"/>
    <w:pPr>
      <w:ind w:left="720"/>
      <w:contextualSpacing/>
    </w:pPr>
  </w:style>
  <w:style w:type="paragraph" w:customStyle="1" w:styleId="rvps2">
    <w:name w:val="rvps2"/>
    <w:basedOn w:val="a"/>
    <w:rsid w:val="0038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_"/>
    <w:basedOn w:val="a0"/>
    <w:rsid w:val="00477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sid w:val="00477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ой текст (2)_"/>
    <w:basedOn w:val="a0"/>
    <w:rsid w:val="00477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477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rvts44">
    <w:name w:val="rvts44"/>
    <w:basedOn w:val="a0"/>
    <w:rsid w:val="00477F4A"/>
  </w:style>
  <w:style w:type="character" w:customStyle="1" w:styleId="6">
    <w:name w:val="Основной текст (6)_"/>
    <w:basedOn w:val="a0"/>
    <w:link w:val="60"/>
    <w:rsid w:val="00F913A3"/>
    <w:rPr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13A3"/>
    <w:pPr>
      <w:widowControl w:val="0"/>
      <w:shd w:val="clear" w:color="auto" w:fill="FFFFFF"/>
      <w:spacing w:before="180" w:after="0" w:line="178" w:lineRule="exact"/>
      <w:jc w:val="both"/>
    </w:pPr>
    <w:rPr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C6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B8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E1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1EE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C4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BB29C0"/>
    <w:rPr>
      <w:i/>
      <w:iCs/>
    </w:rPr>
  </w:style>
  <w:style w:type="character" w:styleId="af">
    <w:name w:val="Subtle Emphasis"/>
    <w:basedOn w:val="a0"/>
    <w:uiPriority w:val="19"/>
    <w:qFormat/>
    <w:rsid w:val="009446E8"/>
    <w:rPr>
      <w:i/>
      <w:iCs/>
      <w:color w:val="808080" w:themeColor="text1" w:themeTint="7F"/>
    </w:rPr>
  </w:style>
  <w:style w:type="character" w:customStyle="1" w:styleId="10">
    <w:name w:val="Основной текст (10)"/>
    <w:basedOn w:val="a0"/>
    <w:rsid w:val="00DC29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0">
    <w:name w:val="Основной текст (10)_"/>
    <w:basedOn w:val="a0"/>
    <w:rsid w:val="00DC293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rsid w:val="00FE57B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FE57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1">
    <w:name w:val="Основной текст (5) + Курсив"/>
    <w:basedOn w:val="5"/>
    <w:rsid w:val="00411E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1pt">
    <w:name w:val="Основной текст (5) + Интервал 1 pt"/>
    <w:basedOn w:val="5"/>
    <w:rsid w:val="00411E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B03E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03EED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EED"/>
    <w:pPr>
      <w:widowControl w:val="0"/>
      <w:shd w:val="clear" w:color="auto" w:fill="FFFFFF"/>
      <w:spacing w:after="0" w:line="197" w:lineRule="exact"/>
      <w:jc w:val="both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character" w:customStyle="1" w:styleId="14">
    <w:name w:val="Основной текст (14)"/>
    <w:basedOn w:val="a0"/>
    <w:rsid w:val="008D5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40">
    <w:name w:val="Основной текст (14)_"/>
    <w:basedOn w:val="a0"/>
    <w:rsid w:val="005F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"/>
    <w:basedOn w:val="a0"/>
    <w:rsid w:val="00362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80">
    <w:name w:val="Основной текст (8) + Курсив"/>
    <w:basedOn w:val="a0"/>
    <w:rsid w:val="003624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81pt">
    <w:name w:val="Основной текст (8) + Интервал 1 pt"/>
    <w:basedOn w:val="a0"/>
    <w:rsid w:val="00362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rvps1">
    <w:name w:val="rvps1"/>
    <w:basedOn w:val="a"/>
    <w:rsid w:val="0017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751BA"/>
  </w:style>
  <w:style w:type="paragraph" w:customStyle="1" w:styleId="rvps4">
    <w:name w:val="rvps4"/>
    <w:basedOn w:val="a"/>
    <w:rsid w:val="0017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751BA"/>
  </w:style>
  <w:style w:type="paragraph" w:customStyle="1" w:styleId="rvps7">
    <w:name w:val="rvps7"/>
    <w:basedOn w:val="a"/>
    <w:rsid w:val="0017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751BA"/>
  </w:style>
  <w:style w:type="character" w:customStyle="1" w:styleId="6Arial">
    <w:name w:val="Основной текст (6) + Arial;Курсив"/>
    <w:basedOn w:val="6"/>
    <w:rsid w:val="00ED489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rsid w:val="003C6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C6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5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%20s/show/995_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space.onua.edu.ua/bitstream/handle/11300/10770/%20%20%20%20%20%20%20221%20290.pdf?sequenc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2019-10-12T10:51:00Z</cp:lastPrinted>
  <dcterms:created xsi:type="dcterms:W3CDTF">2019-10-12T13:32:00Z</dcterms:created>
  <dcterms:modified xsi:type="dcterms:W3CDTF">2019-10-12T13:33:00Z</dcterms:modified>
</cp:coreProperties>
</file>