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015B" w14:textId="77777777" w:rsidR="00BD086A" w:rsidRPr="007F005D" w:rsidRDefault="00BD086A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21F4E297" w14:textId="77777777" w:rsidR="00AE57DB" w:rsidRPr="007F005D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ВСТУП..……………………………………………….……………………</w:t>
      </w:r>
      <w:r w:rsidR="008B44B3" w:rsidRPr="007F005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4AA58F39" w14:textId="77777777" w:rsidR="00AE57DB" w:rsidRPr="007F005D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РОЗДІЛ 1. ПОРЯДОК КРИМІНАЛЬНОГО ПРОВАДЖЕННЯ ЩОДО НЕПОВНОЛІТНІХ……………….....................................................</w:t>
      </w:r>
      <w:r w:rsidR="008B44B3" w:rsidRPr="007F005D">
        <w:rPr>
          <w:rFonts w:ascii="Times New Roman" w:hAnsi="Times New Roman" w:cs="Times New Roman"/>
          <w:b/>
          <w:sz w:val="28"/>
          <w:szCs w:val="28"/>
          <w:lang w:val="uk-UA"/>
        </w:rPr>
        <w:t>....5</w:t>
      </w:r>
    </w:p>
    <w:p w14:paraId="4C746BC7" w14:textId="77777777" w:rsidR="00AE57DB" w:rsidRPr="007F005D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1.1. Загальні положення та особливості </w:t>
      </w:r>
      <w:r w:rsidR="001D6A53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досудового розслідування 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щодо неповнолітніх.....................................................................................................</w:t>
      </w:r>
      <w:r w:rsidR="008B44B3" w:rsidRPr="007F005D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="008B44B3" w:rsidRPr="007F005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14:paraId="2957849D" w14:textId="77777777" w:rsidR="00AE57DB" w:rsidRPr="007F005D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1.2. Застосування за</w:t>
      </w:r>
      <w:r w:rsidR="00E51B6F" w:rsidRPr="007F005D">
        <w:rPr>
          <w:rFonts w:ascii="Times New Roman" w:hAnsi="Times New Roman" w:cs="Times New Roman"/>
          <w:sz w:val="28"/>
          <w:szCs w:val="28"/>
          <w:lang w:val="uk-UA"/>
        </w:rPr>
        <w:t>побіжних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B6F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щодо неповнолітніх у кримінальному провадженні…………………………………………………</w:t>
      </w:r>
      <w:r w:rsidR="008B44B3" w:rsidRPr="007F005D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44B3" w:rsidRPr="007F005D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14:paraId="1D875447" w14:textId="77777777" w:rsidR="00AE57DB" w:rsidRPr="007F005D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4026F5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Участь органів досудового розслідування у кримінальному провадженні щодо неповнолітніх 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</w:t>
      </w:r>
      <w:r w:rsidR="008B44B3" w:rsidRPr="007F00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="008B44B3" w:rsidRPr="007F005D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14:paraId="6BB8E814" w14:textId="77777777" w:rsidR="00AE57DB" w:rsidRPr="007F005D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РОЗДІЛ 2. ПР</w:t>
      </w:r>
      <w:r w:rsidR="00BB1261" w:rsidRPr="007F005D">
        <w:rPr>
          <w:rFonts w:ascii="Times New Roman" w:hAnsi="Times New Roman" w:cs="Times New Roman"/>
          <w:b/>
          <w:sz w:val="28"/>
          <w:szCs w:val="28"/>
          <w:lang w:val="uk-UA"/>
        </w:rPr>
        <w:t>АВОВ</w:t>
      </w: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ИЙ СТАТУС НЕПОВНОЛІТНІХ У КРИМІНАЛЬНОМУ ПРОВАДЖЕННІ……………………………………</w:t>
      </w:r>
      <w:r w:rsidR="008B44B3" w:rsidRPr="007F005D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14:paraId="2FAC41A0" w14:textId="77777777" w:rsidR="00AE57DB" w:rsidRPr="007F005D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026F5" w:rsidRPr="007F00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. Гарантії забезпечення прав та законних інтересів неповнолітніх у кримінальному провадженні ………………………………………..………..</w:t>
      </w:r>
      <w:r w:rsidR="008B44B3" w:rsidRPr="007F005D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14:paraId="7E5E626D" w14:textId="77777777" w:rsidR="004026F5" w:rsidRPr="007F005D" w:rsidRDefault="004026F5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2.2. Участь прокурора як гарантія забезпечення прав</w:t>
      </w:r>
      <w:r w:rsidR="00450E7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та законних інтересів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 у кримінальному провадженні</w:t>
      </w:r>
      <w:r w:rsidR="008B44B3" w:rsidRPr="007F005D">
        <w:rPr>
          <w:rFonts w:ascii="Times New Roman" w:hAnsi="Times New Roman" w:cs="Times New Roman"/>
          <w:sz w:val="28"/>
          <w:szCs w:val="28"/>
          <w:lang w:val="uk-UA"/>
        </w:rPr>
        <w:t>……………………....</w:t>
      </w:r>
      <w:r w:rsidR="008B44B3" w:rsidRPr="007F005D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14:paraId="05F2DE7F" w14:textId="77777777" w:rsidR="00AE57DB" w:rsidRPr="007F005D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ВИСНОВКИ…………………………………………….….…………….</w:t>
      </w:r>
      <w:r w:rsidR="008B44B3" w:rsidRPr="007F005D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</w:p>
    <w:p w14:paraId="514E5B05" w14:textId="77777777" w:rsidR="00AE57DB" w:rsidRPr="007F005D" w:rsidRDefault="00AE57DB" w:rsidP="00AE57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ДЖЕРЕЛ………………………….....</w:t>
      </w:r>
      <w:r w:rsidR="008B44B3" w:rsidRPr="007F005D">
        <w:rPr>
          <w:rFonts w:ascii="Times New Roman" w:hAnsi="Times New Roman" w:cs="Times New Roman"/>
          <w:b/>
          <w:sz w:val="28"/>
          <w:szCs w:val="28"/>
          <w:lang w:val="uk-UA"/>
        </w:rPr>
        <w:t>..34</w:t>
      </w:r>
    </w:p>
    <w:p w14:paraId="4606A116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EB3C5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339D2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6E2266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2A9F97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391322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FF0CB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575BD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E28CE7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44716D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05803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FD36C5" w14:textId="77777777" w:rsidR="00BD086A" w:rsidRPr="007F005D" w:rsidRDefault="00BD086A" w:rsidP="00BD086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AE893" w14:textId="77777777" w:rsidR="00BD086A" w:rsidRPr="007F005D" w:rsidRDefault="00BD086A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03293469" w14:textId="77777777" w:rsidR="003202F7" w:rsidRPr="007F005D" w:rsidRDefault="00BD086A" w:rsidP="002468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</w:p>
    <w:p w14:paraId="5ECC4DED" w14:textId="77777777" w:rsidR="004460CB" w:rsidRPr="007F005D" w:rsidRDefault="004460CB" w:rsidP="004460CB">
      <w:pPr>
        <w:spacing w:after="0" w:line="360" w:lineRule="auto"/>
        <w:ind w:firstLine="709"/>
        <w:contextualSpacing/>
        <w:jc w:val="both"/>
        <w:rPr>
          <w:rFonts w:ascii="TT4D7o00" w:hAnsi="TT4D7o00"/>
          <w:color w:val="000000"/>
          <w:sz w:val="28"/>
          <w:szCs w:val="28"/>
          <w:lang w:val="uk-UA"/>
        </w:rPr>
      </w:pPr>
      <w:r w:rsidRPr="007F005D">
        <w:rPr>
          <w:rFonts w:ascii="TT4D7o00" w:hAnsi="TT4D7o00"/>
          <w:color w:val="000000"/>
          <w:sz w:val="28"/>
          <w:szCs w:val="28"/>
          <w:lang w:val="uk-UA"/>
        </w:rPr>
        <w:t>Дана курсова робота присвячена актуальним питанням, особливостям та проблемам досудового розслідування у кримінальному провадженні щодо неповнолітніх.</w:t>
      </w:r>
    </w:p>
    <w:p w14:paraId="5ED65643" w14:textId="77777777" w:rsidR="00106DBF" w:rsidRPr="007F005D" w:rsidRDefault="004460CB" w:rsidP="00AE2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T4D7o00" w:hAnsi="TT4D7o00"/>
          <w:color w:val="000000"/>
          <w:sz w:val="28"/>
          <w:szCs w:val="28"/>
          <w:lang w:val="uk-UA"/>
        </w:rPr>
        <w:t xml:space="preserve">Кримінальний процесуальний кодекс України закріпив положення, відповідно до </w:t>
      </w:r>
      <w:r w:rsidR="00AE278F">
        <w:rPr>
          <w:rFonts w:ascii="TT4D7o00" w:hAnsi="TT4D7o00"/>
          <w:color w:val="000000"/>
          <w:sz w:val="28"/>
          <w:szCs w:val="28"/>
          <w:lang w:val="uk-UA"/>
        </w:rPr>
        <w:t>…..</w:t>
      </w:r>
    </w:p>
    <w:p w14:paraId="5FB83F06" w14:textId="77777777" w:rsidR="00AE57DB" w:rsidRPr="007F005D" w:rsidRDefault="00BD086A" w:rsidP="00BD6D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даної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A56BE98" w14:textId="77777777" w:rsidR="00FC163C" w:rsidRPr="007F005D" w:rsidRDefault="00FC163C" w:rsidP="00BD6D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даної курсової роботи здійснювалось шляхом дослідження та аналізу кримінального процесуального законодавства України з вирішенням наступних </w:t>
      </w: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2CDA98E6" w14:textId="77777777" w:rsidR="008B44B3" w:rsidRPr="007F005D" w:rsidRDefault="00AE278F" w:rsidP="000D1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9287490" w14:textId="77777777" w:rsidR="00305D08" w:rsidRPr="007F005D" w:rsidRDefault="00305D08" w:rsidP="00305D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00C9D52" w14:textId="77777777" w:rsidR="00305D08" w:rsidRPr="007F005D" w:rsidRDefault="00305D08" w:rsidP="00FC1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EFC0091" w14:textId="77777777" w:rsidR="00305D08" w:rsidRPr="007F005D" w:rsidRDefault="00305D08" w:rsidP="00305D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Метод</w:t>
      </w:r>
      <w:r w:rsidR="00FC163C" w:rsidRPr="007F0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ами </w:t>
      </w:r>
      <w:r w:rsidR="00FC163C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даної курсової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4AEBA35" w14:textId="77777777" w:rsidR="00E10DCB" w:rsidRPr="007F005D" w:rsidRDefault="00BD086A" w:rsidP="007346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роботи.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Робота складається зі вступу, </w:t>
      </w:r>
      <w:r w:rsidR="00FC163C" w:rsidRPr="007F005D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9D1B3B" w:rsidRPr="007F005D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7346C8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розділів,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7DB" w:rsidRPr="007F005D">
        <w:rPr>
          <w:rFonts w:ascii="Times New Roman" w:hAnsi="Times New Roman" w:cs="Times New Roman"/>
          <w:sz w:val="28"/>
          <w:szCs w:val="28"/>
          <w:lang w:val="uk-UA"/>
        </w:rPr>
        <w:t>п’ятьох</w:t>
      </w:r>
      <w:r w:rsidR="00975147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підрозділів, 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висновків та списку використаних </w:t>
      </w:r>
      <w:r w:rsidR="00394E2F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джерел.</w:t>
      </w:r>
    </w:p>
    <w:p w14:paraId="5E2A4A5C" w14:textId="77777777" w:rsidR="008B44B3" w:rsidRPr="007F005D" w:rsidRDefault="008B44B3" w:rsidP="006957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7393BA" w14:textId="77777777" w:rsidR="008B44B3" w:rsidRPr="007F005D" w:rsidRDefault="008B44B3" w:rsidP="006957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F6F40D" w14:textId="77777777" w:rsidR="008B44B3" w:rsidRPr="007F005D" w:rsidRDefault="008B44B3" w:rsidP="006957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FD7A60" w14:textId="77777777" w:rsidR="008B44B3" w:rsidRPr="007F005D" w:rsidRDefault="008B44B3" w:rsidP="006957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4CA50C" w14:textId="77777777" w:rsidR="0069575B" w:rsidRPr="007F005D" w:rsidRDefault="0069575B" w:rsidP="006957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14:paraId="51646D9D" w14:textId="77777777" w:rsidR="0069575B" w:rsidRPr="007F005D" w:rsidRDefault="0069575B" w:rsidP="0069575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ПОРЯДОК КРИМІНАЛЬНОГО ПРОВАДЖЕННЯ ЩОДО НЕПОВНОЛІТНІХ</w:t>
      </w:r>
    </w:p>
    <w:p w14:paraId="14CDF8FB" w14:textId="77777777" w:rsidR="0069575B" w:rsidRPr="007F005D" w:rsidRDefault="006957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Загальні положення та особливості </w:t>
      </w:r>
      <w:r w:rsidR="001D6A53" w:rsidRPr="007F005D">
        <w:rPr>
          <w:rFonts w:ascii="Times New Roman" w:hAnsi="Times New Roman" w:cs="Times New Roman"/>
          <w:b/>
          <w:sz w:val="28"/>
          <w:szCs w:val="28"/>
          <w:lang w:val="uk-UA"/>
        </w:rPr>
        <w:t>досудового розслідування</w:t>
      </w: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неповнолітніх</w:t>
      </w:r>
    </w:p>
    <w:p w14:paraId="3CD5709A" w14:textId="77777777" w:rsidR="00426C7C" w:rsidRPr="007F005D" w:rsidRDefault="00426C7C" w:rsidP="00426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Кримінально-процесуальне законодавство України закріплює правило, згідно якого кримінальне провадження щодо неповнолітнього здійснюється у разі вчинення останнім суспільно небезпечного діяння у віці від одинадцяти 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вісімнадцяти років. Щодо осіб, які на момент вчинення суспільно небезпечного діяння не досягли одинадцятирічного віку – кримінальне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, с.439 – 440].</w:t>
      </w:r>
    </w:p>
    <w:p w14:paraId="634D9F5B" w14:textId="77777777" w:rsidR="00DF099E" w:rsidRPr="007F005D" w:rsidRDefault="006C684D" w:rsidP="00AE2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Стандартний мінімум, що стосується здійснення правосуддя щодо неповнолітніх, закріплено в «Пекінських правилах» 1985 р. В основу цих правил покладено засади Загальної декларації прав людини (1948). Відмітна особливість «Пекінських правил» полягає в тому, що саме в них головні акценти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DF099E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неповнолітнього підозрюваного (ст. 488 КПК України), а також захисники (</w:t>
      </w:r>
      <w:proofErr w:type="spellStart"/>
      <w:r w:rsidR="00DF099E" w:rsidRPr="007F005D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DF099E" w:rsidRPr="007F005D">
        <w:rPr>
          <w:rFonts w:ascii="Times New Roman" w:hAnsi="Times New Roman" w:cs="Times New Roman"/>
          <w:sz w:val="28"/>
          <w:szCs w:val="28"/>
          <w:lang w:val="uk-UA"/>
        </w:rPr>
        <w:t>. 1, 2 ч. 2 ст. 52 КПК України) [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F099E" w:rsidRPr="007F005D">
        <w:rPr>
          <w:rFonts w:ascii="Times New Roman" w:hAnsi="Times New Roman" w:cs="Times New Roman"/>
          <w:sz w:val="28"/>
          <w:szCs w:val="28"/>
          <w:lang w:val="uk-UA"/>
        </w:rPr>
        <w:t>, с.115 – 116].</w:t>
      </w:r>
    </w:p>
    <w:p w14:paraId="33E756FA" w14:textId="77777777" w:rsidR="007E155B" w:rsidRPr="007F005D" w:rsidRDefault="00522C6C" w:rsidP="00106D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D008465" w14:textId="77777777" w:rsidR="0069575B" w:rsidRPr="007F005D" w:rsidRDefault="006957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E3ECC9" w14:textId="77777777" w:rsidR="0069575B" w:rsidRPr="007F005D" w:rsidRDefault="006957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FFA98B" w14:textId="77777777" w:rsidR="0069575B" w:rsidRPr="007F005D" w:rsidRDefault="006957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182120" w14:textId="77777777" w:rsidR="0069575B" w:rsidRPr="007F005D" w:rsidRDefault="006957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B8432" w14:textId="77777777" w:rsidR="0069575B" w:rsidRPr="007F005D" w:rsidRDefault="006957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CB3527" w14:textId="77777777" w:rsidR="0069575B" w:rsidRPr="007F005D" w:rsidRDefault="006957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Застосування </w:t>
      </w:r>
      <w:r w:rsidR="00E51B6F" w:rsidRPr="007F0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запобіжних заходів </w:t>
      </w: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щодо неповнолітніх у кримінальному провадженні</w:t>
      </w:r>
    </w:p>
    <w:p w14:paraId="7EC2DB7A" w14:textId="77777777" w:rsidR="00D21BEB" w:rsidRPr="007F005D" w:rsidRDefault="000F16F7" w:rsidP="00AE2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Такий вид забезпечення кримінального провадження, як запобіжні заходи, в цілому не містять в собі факторів покарання та ставлення держави до особи як до злочинця. Конституційний Суд України поділяє думку про те, що за правовою природою запобіжні заходи до підозрюваного,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D21BEB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вказується. Тому погодимося із О. О. </w:t>
      </w:r>
      <w:proofErr w:type="spellStart"/>
      <w:r w:rsidR="00D21BEB" w:rsidRPr="007F005D">
        <w:rPr>
          <w:rFonts w:ascii="Times New Roman" w:hAnsi="Times New Roman" w:cs="Times New Roman"/>
          <w:sz w:val="28"/>
          <w:szCs w:val="28"/>
          <w:lang w:val="uk-UA"/>
        </w:rPr>
        <w:t>Левендаренком</w:t>
      </w:r>
      <w:proofErr w:type="spellEnd"/>
      <w:r w:rsidR="00D21BEB" w:rsidRPr="007F005D">
        <w:rPr>
          <w:rFonts w:ascii="Times New Roman" w:hAnsi="Times New Roman" w:cs="Times New Roman"/>
          <w:sz w:val="28"/>
          <w:szCs w:val="28"/>
          <w:lang w:val="uk-UA"/>
        </w:rPr>
        <w:t>, що під час застосування запобіжних заходів до неповнолітніх повинні враховуватись усі обставини, передбачені ст. 485 КПК України [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21BEB" w:rsidRPr="007F005D">
        <w:rPr>
          <w:rFonts w:ascii="Times New Roman" w:hAnsi="Times New Roman" w:cs="Times New Roman"/>
          <w:sz w:val="28"/>
          <w:szCs w:val="28"/>
          <w:lang w:val="uk-UA"/>
        </w:rPr>
        <w:t>, с.118].</w:t>
      </w:r>
    </w:p>
    <w:p w14:paraId="146ACE02" w14:textId="77777777" w:rsidR="00D21BEB" w:rsidRPr="007F005D" w:rsidRDefault="0093620E" w:rsidP="00AE2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Затримання та тримання під вартою, враховуючи особливості психологічного та фізичного розвитку цієї категорії осіб, можуть бути застосовані лише до тих неповнолітніх, які підозрюються чи обвинувачуються у вчиненні тяжких і особливо тяжких злочинів, і за умови, 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слідчий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spellStart"/>
      <w:r w:rsidR="00D21BEB" w:rsidRPr="007F005D">
        <w:rPr>
          <w:rFonts w:ascii="Times New Roman" w:hAnsi="Times New Roman" w:cs="Times New Roman"/>
          <w:sz w:val="28"/>
          <w:szCs w:val="28"/>
          <w:lang w:val="uk-UA"/>
        </w:rPr>
        <w:t>бговорювати</w:t>
      </w:r>
      <w:proofErr w:type="spellEnd"/>
      <w:r w:rsidR="00D21BEB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передачі його під нагляд. Вважаємо, що цей досвід можна запозичити [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21BEB" w:rsidRPr="007F005D">
        <w:rPr>
          <w:rFonts w:ascii="Times New Roman" w:hAnsi="Times New Roman" w:cs="Times New Roman"/>
          <w:sz w:val="28"/>
          <w:szCs w:val="28"/>
          <w:lang w:val="uk-UA"/>
        </w:rPr>
        <w:t>, с.119 – 120].</w:t>
      </w:r>
    </w:p>
    <w:p w14:paraId="606DF1C6" w14:textId="77777777" w:rsidR="007E155B" w:rsidRPr="007F005D" w:rsidRDefault="00A774DD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Підсумовуюче вищезазначене,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4E12AF8" w14:textId="77777777" w:rsidR="007E155B" w:rsidRPr="007F005D" w:rsidRDefault="007E155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3A5776" w14:textId="77777777" w:rsidR="007E155B" w:rsidRPr="007F005D" w:rsidRDefault="007E155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3A554F" w14:textId="77777777" w:rsidR="007E155B" w:rsidRPr="007F005D" w:rsidRDefault="007E155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792E3" w14:textId="77777777" w:rsidR="007E155B" w:rsidRPr="007F005D" w:rsidRDefault="007E155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FAEA7B" w14:textId="77777777" w:rsidR="007E155B" w:rsidRPr="007F005D" w:rsidRDefault="007E155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022641" w14:textId="77777777" w:rsidR="007E155B" w:rsidRPr="007F005D" w:rsidRDefault="007E155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8286F3" w14:textId="77777777" w:rsidR="007E155B" w:rsidRPr="007F005D" w:rsidRDefault="007E155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7FCB27" w14:textId="77777777" w:rsidR="007E155B" w:rsidRPr="007F005D" w:rsidRDefault="007E155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A17DD2" w14:textId="77777777" w:rsidR="007E155B" w:rsidRPr="007F005D" w:rsidRDefault="007E155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64B54A" w14:textId="77777777" w:rsidR="007E155B" w:rsidRPr="007F005D" w:rsidRDefault="007E155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8B7CBF" w14:textId="77777777" w:rsidR="00D21BEB" w:rsidRPr="007F005D" w:rsidRDefault="00D21BE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3D9351" w14:textId="77777777" w:rsidR="00D21BEB" w:rsidRPr="007F005D" w:rsidRDefault="00D21BE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493B6D" w14:textId="77777777" w:rsidR="00D21BEB" w:rsidRPr="007F005D" w:rsidRDefault="00D21BEB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79BCDB" w14:textId="77777777" w:rsidR="0093620E" w:rsidRPr="007F005D" w:rsidRDefault="0093620E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1.3. Участь органів досудового розслідування у кримінальному провадженні щодо неповнолітніх</w:t>
      </w:r>
    </w:p>
    <w:p w14:paraId="7D4F0BDA" w14:textId="77777777" w:rsidR="0003056C" w:rsidRPr="007F005D" w:rsidRDefault="0003056C" w:rsidP="000305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Велике значення для профілактики злочинності серед неповнолітніх має процесуальна діяльність органів досудового розслідування та суду щодо встановлення обставин у зазначеній категорії кримінальних проваджень. Від правильності та повноти встановлення обставин, що підлягають доказуванню у кримінальному провадженні щодо неповнолітніх, передусім залежить ефективність здійснення правосуддя в зазначеній категорії кримінальних проваджень [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, с.204]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86926B" w14:textId="77777777" w:rsidR="0093620E" w:rsidRPr="007F005D" w:rsidRDefault="0003056C" w:rsidP="00AE2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Якщо проаналізувати ч. 2 ст. 484 Кримінального процесуального кодексу України, то можна вести мову про те, що перед особами, які беруть участь у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93620E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сприяють вчиненню злочинів, здійснювати профілактику правопорушень [</w:t>
      </w:r>
      <w:r w:rsidR="00B45F8B" w:rsidRPr="007F005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3620E" w:rsidRPr="007F005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31AC0630" w14:textId="77777777" w:rsidR="0093620E" w:rsidRPr="007F005D" w:rsidRDefault="0003056C" w:rsidP="00AE2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Кожен слідчий, прокурор у кримінальному провадженні, в якому наявний неповнолітній, повинен розробляти тактику слідчих дій із урахуванням вікових і психологічних особливостей неповнолітньої особи і при цьому суворо дотримуватись вимог чинного законодавства, що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F7627D2" w14:textId="77777777" w:rsidR="0069575B" w:rsidRPr="007F005D" w:rsidRDefault="007E15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2E26899" w14:textId="77777777" w:rsidR="0069575B" w:rsidRPr="007F005D" w:rsidRDefault="006957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39019" w14:textId="77777777" w:rsidR="0069575B" w:rsidRPr="007F005D" w:rsidRDefault="006957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4BD2BE" w14:textId="77777777" w:rsidR="00D21BEB" w:rsidRPr="007F005D" w:rsidRDefault="007E155B" w:rsidP="00D21BE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69575B" w:rsidRPr="007F005D">
        <w:rPr>
          <w:rFonts w:ascii="Times New Roman" w:hAnsi="Times New Roman" w:cs="Times New Roman"/>
          <w:b/>
          <w:sz w:val="28"/>
          <w:szCs w:val="28"/>
          <w:lang w:val="uk-UA"/>
        </w:rPr>
        <w:t>ОЗДІЛ 2</w:t>
      </w:r>
    </w:p>
    <w:p w14:paraId="5CE09DAF" w14:textId="77777777" w:rsidR="0069575B" w:rsidRPr="007F005D" w:rsidRDefault="0069575B" w:rsidP="00D21BE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BB1261" w:rsidRPr="007F005D">
        <w:rPr>
          <w:rFonts w:ascii="Times New Roman" w:hAnsi="Times New Roman" w:cs="Times New Roman"/>
          <w:b/>
          <w:sz w:val="28"/>
          <w:szCs w:val="28"/>
          <w:lang w:val="uk-UA"/>
        </w:rPr>
        <w:t>АВОВ</w:t>
      </w: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ИЙ СТАТУС НЕПОВНОЛІТНІХ У КРИМІНАЛЬНОМУ ПРОВАДЖЕННІ</w:t>
      </w:r>
    </w:p>
    <w:p w14:paraId="300E3A89" w14:textId="77777777" w:rsidR="0069575B" w:rsidRPr="007F005D" w:rsidRDefault="0069575B" w:rsidP="006957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93620E" w:rsidRPr="007F005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. Гарантії забезпечення прав та законних інтересів неповнолітніх у кримінальному провадженні</w:t>
      </w:r>
    </w:p>
    <w:p w14:paraId="2CE86C31" w14:textId="77777777" w:rsidR="0093620E" w:rsidRPr="007F005D" w:rsidRDefault="00426C7C" w:rsidP="00AE2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Статтею 3 Конвенції про права дитини від 20 листопада 1989 року закріплено, що в усіх діях щодо дітей, незалежно від того, здійснюються вони державними чи приватними установами, що займаються питаннями соціального забезпечення, судами, адміністративними чи законодавчими органами, першочергова увага приділяється якнайкращому забезпеченню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93620E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дії, що проводяться з неповнолітнім підозрюваним, обвинуваченим, повністю відповідають вимогам закону, то це є одним із елементів кримінальних процесуальних гарантій забезпечення їхніх прав [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3620E" w:rsidRPr="007F005D">
        <w:rPr>
          <w:rFonts w:ascii="Times New Roman" w:hAnsi="Times New Roman" w:cs="Times New Roman"/>
          <w:sz w:val="28"/>
          <w:szCs w:val="28"/>
          <w:lang w:val="uk-UA"/>
        </w:rPr>
        <w:t>, с. 225].</w:t>
      </w:r>
    </w:p>
    <w:p w14:paraId="6B8B6625" w14:textId="77777777" w:rsidR="00BC4575" w:rsidRPr="007F005D" w:rsidRDefault="0093620E" w:rsidP="00AE2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У забезпеченні прав і законних інтересів неповнолітнього підозрюваного, обвинуваченого важливу роль відіграє реалізація своїх повноважень захисником у процедурі обмеження права на свободу й особисту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DDA8B2E" w14:textId="77777777" w:rsidR="00D21BEB" w:rsidRPr="007F005D" w:rsidRDefault="00DB4488" w:rsidP="00AE2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вищевикладене,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41A59BA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F0EB45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7E8079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136398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E09C8E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E2C15E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20D518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9BB810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F0F616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1D6D47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F61AF9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75CF05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93E9BA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7A6887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8C282" w14:textId="77777777" w:rsidR="0003056C" w:rsidRPr="007F005D" w:rsidRDefault="0003056C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1AC94C" w14:textId="77777777" w:rsidR="00D21BEB" w:rsidRPr="007F005D" w:rsidRDefault="00D21BE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A93ACF" w14:textId="77777777" w:rsidR="0093620E" w:rsidRPr="007F005D" w:rsidRDefault="0093620E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026F5" w:rsidRPr="007F005D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Участь прокурора як гарантія забезпечення </w:t>
      </w:r>
      <w:r w:rsidR="004026F5" w:rsidRPr="007F0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 </w:t>
      </w:r>
      <w:r w:rsidR="00450E7D" w:rsidRPr="007F0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законних інтересів </w:t>
      </w:r>
      <w:r w:rsidR="004026F5" w:rsidRPr="007F005D">
        <w:rPr>
          <w:rFonts w:ascii="Times New Roman" w:hAnsi="Times New Roman" w:cs="Times New Roman"/>
          <w:b/>
          <w:sz w:val="28"/>
          <w:szCs w:val="28"/>
          <w:lang w:val="uk-UA"/>
        </w:rPr>
        <w:t>неповнолітніх</w:t>
      </w: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кримінальному провадженні </w:t>
      </w:r>
    </w:p>
    <w:p w14:paraId="6B41D4A3" w14:textId="77777777" w:rsidR="0003056C" w:rsidRPr="007F005D" w:rsidRDefault="0003056C" w:rsidP="000305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Процесуальне керівництво досудовим розслідуванням у зазначених категоріях кримінальних проваджень здійснюється прокурорами, на яких покладено обов’язок щодо захисту прав і свобод дітей [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, с.115].</w:t>
      </w:r>
    </w:p>
    <w:p w14:paraId="57876F51" w14:textId="77777777" w:rsidR="001331F7" w:rsidRPr="007F005D" w:rsidRDefault="0093620E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Гарантією забезпечення прав дитини при застосуванні запобіжних заходів, як під час досудового розслідування, так і під час судового розгляду кримінального провадження, виступає прокурор. Останній наділений процесуальними повноваженнями, необхідними для забезпечення прийняття законних процесуальних рішень та виконання процесуальних дій щодо неповнолітніх підозрюваних, обвинувачених [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331F7" w:rsidRPr="007F005D">
        <w:rPr>
          <w:rFonts w:ascii="Times New Roman" w:hAnsi="Times New Roman" w:cs="Times New Roman"/>
          <w:sz w:val="28"/>
          <w:szCs w:val="28"/>
          <w:lang w:val="uk-UA"/>
        </w:rPr>
        <w:t>, с.115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1331F7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C66B3E" w14:textId="77777777" w:rsidR="0093620E" w:rsidRPr="007F005D" w:rsidRDefault="00AE278F" w:rsidP="009362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93620E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втручання з боку системи правосуддя з урахуванням їх вікових та психологічних особливостей [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3620E" w:rsidRPr="007F005D">
        <w:rPr>
          <w:rFonts w:ascii="Times New Roman" w:hAnsi="Times New Roman" w:cs="Times New Roman"/>
          <w:sz w:val="28"/>
          <w:szCs w:val="28"/>
          <w:lang w:val="uk-UA"/>
        </w:rPr>
        <w:t>, с.118].</w:t>
      </w:r>
    </w:p>
    <w:p w14:paraId="340CE3D2" w14:textId="77777777" w:rsidR="0093620E" w:rsidRPr="007F005D" w:rsidRDefault="001331F7" w:rsidP="001331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AE278F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благополуччя</w:t>
      </w:r>
      <w:r w:rsidR="0003056C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неповнолітн</w:t>
      </w:r>
      <w:r w:rsidR="0003056C" w:rsidRPr="007F005D">
        <w:rPr>
          <w:rFonts w:ascii="Times New Roman" w:hAnsi="Times New Roman" w:cs="Times New Roman"/>
          <w:sz w:val="28"/>
          <w:szCs w:val="28"/>
          <w:lang w:val="uk-UA"/>
        </w:rPr>
        <w:t>ього та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зведення до мінімуму необхідності втручання з боку правосуддя</w:t>
      </w:r>
      <w:r w:rsidR="004460CB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у його особисте життя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8CAEE7" w14:textId="77777777" w:rsidR="0069575B" w:rsidRPr="007F005D" w:rsidRDefault="0069575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1ECCED" w14:textId="77777777" w:rsidR="0069575B" w:rsidRPr="007F005D" w:rsidRDefault="0069575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A8876D" w14:textId="77777777" w:rsidR="0069575B" w:rsidRPr="007F005D" w:rsidRDefault="0069575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602696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B4EEA1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3381C9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06DA0F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E82359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A10C7C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68D441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387F8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A42470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16B388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F22FE4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23FC3E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90BC20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8DFD26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359FBA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3D8567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338A4D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4D6332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E349FC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9A13B4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F29AFD" w14:textId="77777777" w:rsidR="008B44B3" w:rsidRPr="007F005D" w:rsidRDefault="008B44B3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309108" w14:textId="77777777" w:rsidR="004460CB" w:rsidRPr="007F005D" w:rsidRDefault="004460CB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38D7CB" w14:textId="77777777" w:rsidR="002F14AF" w:rsidRPr="007F005D" w:rsidRDefault="002F14AF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18BB5234" w14:textId="77777777" w:rsidR="00AE57DB" w:rsidRPr="007F005D" w:rsidRDefault="008B44B3" w:rsidP="0069575B">
      <w:pPr>
        <w:spacing w:after="0" w:line="360" w:lineRule="auto"/>
        <w:ind w:firstLine="709"/>
        <w:contextualSpacing/>
        <w:jc w:val="both"/>
        <w:rPr>
          <w:rFonts w:ascii="TT4D7o00" w:hAnsi="TT4D7o00"/>
          <w:color w:val="000000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й даній курсовій роботі таке питання як особливості </w:t>
      </w:r>
      <w:r w:rsidRPr="007F005D">
        <w:rPr>
          <w:rFonts w:ascii="TT4D7o00" w:hAnsi="TT4D7o00"/>
          <w:color w:val="000000"/>
          <w:sz w:val="28"/>
          <w:szCs w:val="28"/>
          <w:lang w:val="uk-UA"/>
        </w:rPr>
        <w:t>досудового розслідування у кримінальному провадженні щодо неповнолітніх, ми дійшли наступних висновків.</w:t>
      </w:r>
    </w:p>
    <w:p w14:paraId="654D44FE" w14:textId="77777777" w:rsidR="00D26DD0" w:rsidRPr="007F005D" w:rsidRDefault="008B44B3" w:rsidP="00AE27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T4D7o00" w:hAnsi="TT4D7o00"/>
          <w:color w:val="000000"/>
          <w:sz w:val="28"/>
          <w:szCs w:val="28"/>
          <w:lang w:val="uk-UA"/>
        </w:rPr>
        <w:t xml:space="preserve">1. Кримінальний процесуальний кодекс України містить окрему главу, яка </w:t>
      </w:r>
      <w:r w:rsidR="00AE278F">
        <w:rPr>
          <w:rFonts w:ascii="TT4D7o00" w:hAnsi="TT4D7o00"/>
          <w:color w:val="000000"/>
          <w:sz w:val="28"/>
          <w:szCs w:val="28"/>
          <w:lang w:val="uk-UA"/>
        </w:rPr>
        <w:t>….</w:t>
      </w:r>
    </w:p>
    <w:p w14:paraId="605CB5A3" w14:textId="77777777" w:rsidR="00BD086A" w:rsidRPr="007F005D" w:rsidRDefault="00BD086A" w:rsidP="00BD086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5FB12799" w14:textId="6F885F57" w:rsidR="00AE57DB" w:rsidRPr="00F8387D" w:rsidRDefault="00BE7D55" w:rsidP="00BE7D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E57DB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 від 28.06.1996 р. </w:t>
      </w:r>
      <w:r w:rsidR="00AE57DB" w:rsidRPr="007F005D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AE57DB" w:rsidRPr="007F005D">
        <w:rPr>
          <w:rFonts w:ascii="Times New Roman" w:hAnsi="Times New Roman" w:cs="Times New Roman"/>
          <w:sz w:val="28"/>
          <w:szCs w:val="28"/>
          <w:lang w:val="uk-UA"/>
        </w:rPr>
        <w:t>. 1996. № 30. ст. 141.</w:t>
      </w:r>
      <w:r w:rsidR="00F8387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8387D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="00F8387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F8387D">
        <w:rPr>
          <w:rFonts w:ascii="Times New Roman" w:hAnsi="Times New Roman" w:cs="Times New Roman"/>
          <w:sz w:val="28"/>
          <w:szCs w:val="28"/>
        </w:rPr>
        <w:t xml:space="preserve"> 29.03.2020 р</w:t>
      </w:r>
      <w:r w:rsidR="00F8387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A48FC50" w14:textId="283037DE" w:rsidR="00BE7D55" w:rsidRPr="00F8387D" w:rsidRDefault="00AE57DB" w:rsidP="00F838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BE7D55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процесуальний кодекс України: Закон України від 13.04.2012 р. № 4651-VI. </w:t>
      </w:r>
      <w:r w:rsidR="00BE7D55" w:rsidRPr="007F005D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BE7D55" w:rsidRPr="007F005D">
        <w:rPr>
          <w:rFonts w:ascii="Times New Roman" w:hAnsi="Times New Roman" w:cs="Times New Roman"/>
          <w:sz w:val="28"/>
          <w:szCs w:val="28"/>
          <w:lang w:val="uk-UA"/>
        </w:rPr>
        <w:t>. 2013. № 9-10, № 11-12, № 13. ст. 88.</w:t>
      </w:r>
      <w:r w:rsidR="00F83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87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8387D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="00F8387D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F8387D">
        <w:rPr>
          <w:rFonts w:ascii="Times New Roman" w:hAnsi="Times New Roman" w:cs="Times New Roman"/>
          <w:sz w:val="28"/>
          <w:szCs w:val="28"/>
        </w:rPr>
        <w:t xml:space="preserve"> 29.03.2020 р</w:t>
      </w:r>
      <w:r w:rsidR="00F8387D">
        <w:rPr>
          <w:rFonts w:ascii="Times New Roman" w:hAnsi="Times New Roman" w:cs="Times New Roman"/>
          <w:sz w:val="28"/>
          <w:szCs w:val="28"/>
          <w:lang w:val="en-US"/>
        </w:rPr>
        <w:t>)</w:t>
      </w:r>
      <w:bookmarkStart w:id="0" w:name="_GoBack"/>
      <w:bookmarkEnd w:id="0"/>
    </w:p>
    <w:p w14:paraId="4D0459D6" w14:textId="77777777" w:rsidR="00B45F8B" w:rsidRPr="007F005D" w:rsidRDefault="00B45F8B" w:rsidP="00B45F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Баб’як</w:t>
      </w:r>
      <w:proofErr w:type="spellEnd"/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А.В., Поляк С.П. Щодо виявлення підрозділами карного розшуку фактів втягнення неповнолітніх у злочинну діяльність. </w:t>
      </w:r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Соціально-правові </w:t>
      </w:r>
      <w:r w:rsidRPr="007F005D">
        <w:rPr>
          <w:rFonts w:ascii="Times New Roman" w:hAnsi="Times New Roman" w:cs="Times New Roman"/>
          <w:i/>
          <w:sz w:val="28"/>
          <w:szCs w:val="28"/>
          <w:lang w:val="uk-UA"/>
        </w:rPr>
        <w:t>студії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. 2018. Випуск 2. С. 55-62</w:t>
      </w:r>
    </w:p>
    <w:p w14:paraId="3AF7393D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Гідулянова</w:t>
      </w:r>
      <w:proofErr w:type="spellEnd"/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Є.М. Види проваджень щодо неповнолітніх за новим кримінальним процесуальним законодавством України. </w:t>
      </w:r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Правове життя сучасної України: матеріали </w:t>
      </w:r>
      <w:proofErr w:type="spellStart"/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Міжнар</w:t>
      </w:r>
      <w:proofErr w:type="spellEnd"/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наук. </w:t>
      </w:r>
      <w:proofErr w:type="spellStart"/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конф</w:t>
      </w:r>
      <w:proofErr w:type="spellEnd"/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. проф.-</w:t>
      </w:r>
      <w:proofErr w:type="spellStart"/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викл</w:t>
      </w:r>
      <w:proofErr w:type="spellEnd"/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. та аспірант. складу. Одеса: Фенікс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. 2013. Т. 2. С. 439 – 441.</w:t>
      </w:r>
    </w:p>
    <w:p w14:paraId="395BB27A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. Гошовська Ю.В. Обставини, що підлягають встановленню у кримінальному провадженні щодо неповнолітніх. Часопис цивільного і кримінального судочинства. 2016. № 5 (32). С. 141 – 150.</w:t>
      </w:r>
    </w:p>
    <w:p w14:paraId="0DDAB995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653D" w:rsidRPr="007F005D">
        <w:rPr>
          <w:lang w:val="uk-UA"/>
        </w:rPr>
        <w:t xml:space="preserve"> 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Гошовська Ю.В. Особливості проведення окремих слідчих дій зі участю неповнолітніх. </w:t>
      </w:r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Вісник Національної академії прокуратури України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. 2016. № 3(45). С. 115 – 121.</w:t>
      </w:r>
    </w:p>
    <w:p w14:paraId="1B0E32A4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Лань О.Ю. Обставини, що підлягають доказуванню в кримінальному провадженні щодо неповнолітніх. </w:t>
      </w:r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Форум права. 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2014. № 4. С. 204 – 209. </w:t>
      </w:r>
    </w:p>
    <w:p w14:paraId="0AB9892F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Кокошко</w:t>
      </w:r>
      <w:proofErr w:type="spellEnd"/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М.В. Особливості процесуальної діяльності прокурора під час застосування до неповнолітнього запобіжного заходу. </w:t>
      </w:r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Форум права.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2015. № 5. С. 114 – 119.</w:t>
      </w:r>
    </w:p>
    <w:p w14:paraId="0AD08E1E" w14:textId="77777777" w:rsidR="0047653D" w:rsidRPr="007F005D" w:rsidRDefault="0047653D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B45F8B" w:rsidRPr="007F005D">
        <w:rPr>
          <w:rFonts w:ascii="Times New Roman" w:hAnsi="Times New Roman" w:cs="Times New Roman"/>
          <w:sz w:val="28"/>
          <w:szCs w:val="28"/>
          <w:lang w:val="uk-UA"/>
        </w:rPr>
        <w:t>Крукевич</w:t>
      </w:r>
      <w:proofErr w:type="spellEnd"/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О.М. Участь неповнолітнього свідка у кримінальному судочинстві. Вісник кримінального судочинства. 2016. № 4. С. 152 – 159.</w:t>
      </w:r>
    </w:p>
    <w:p w14:paraId="7DE8D7A8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Масалітіна</w:t>
      </w:r>
      <w:proofErr w:type="spellEnd"/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 К.С. Деякі особливості процесуального статусу неповнолітніх у кримінальному провадженні України.</w:t>
      </w:r>
      <w:r w:rsidR="0047653D" w:rsidRPr="007F005D">
        <w:rPr>
          <w:lang w:val="uk-UA"/>
        </w:rPr>
        <w:t xml:space="preserve"> 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Верховенство права – основоположний принцип правової держави:  VІІ Науковий круглий стіл молодих вчених, аспірантів та магістрів: Збірник тез доповідей. Харків: ХНУ імені В. Н. Каразіна. 2015. С. 132 – 137.</w:t>
      </w:r>
    </w:p>
    <w:p w14:paraId="68A6422A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lastRenderedPageBreak/>
        <w:t>11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653D" w:rsidRPr="007F005D">
        <w:rPr>
          <w:lang w:val="uk-UA"/>
        </w:rPr>
        <w:t xml:space="preserve"> 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Пилипенко І. Окремі проблеми застосування законодавства щодо участі неповнолітніх у кримінальному провадженні. </w:t>
      </w:r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Публічне право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. 2013. № 3 (11). С. 110 – 118.</w:t>
      </w:r>
    </w:p>
    <w:p w14:paraId="4D452218" w14:textId="77777777" w:rsidR="00563FF7" w:rsidRPr="007F005D" w:rsidRDefault="00B45F8B" w:rsidP="008D24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E7D55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7813" w:rsidRPr="007F005D">
        <w:rPr>
          <w:rFonts w:ascii="Times New Roman" w:hAnsi="Times New Roman" w:cs="Times New Roman"/>
          <w:sz w:val="28"/>
          <w:szCs w:val="28"/>
          <w:lang w:val="uk-UA"/>
        </w:rPr>
        <w:t>Про деякі питання здійснення кримінального провадження щодо неповнолітніх: Лист Вищого спеціалізованого суду України з розгляду цивільних і кримінальних справ від 18.07.2013  № 223-1134/0/4-13</w:t>
      </w:r>
      <w:r w:rsidR="00563FF7" w:rsidRPr="007F00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39CE94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Про оперативно-розшукову діяльність: Закон України від 18.02.1992 р. № 2135-XII. </w:t>
      </w:r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України.</w:t>
      </w:r>
      <w:r w:rsidR="0047653D" w:rsidRPr="007F005D">
        <w:rPr>
          <w:lang w:val="uk-UA"/>
        </w:rPr>
        <w:t xml:space="preserve"> 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1992. № 22. Ст. 303.</w:t>
      </w:r>
    </w:p>
    <w:p w14:paraId="74B6F820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. Про організацію діяльності органів прокуратури щодо захисту прав і свобод дітей: Наказ Генеральної прокуратури України від 06.12.2014 р. № 16гн.</w:t>
      </w:r>
    </w:p>
    <w:p w14:paraId="2A59E747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Про органи і служби у справах дітей та спеціальні установи для дітей: Закон України від 24.01.1995 р. № 20/95-ВР. </w:t>
      </w:r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.1995. № 6. Ст. 35.</w:t>
      </w:r>
    </w:p>
    <w:p w14:paraId="560A47D0" w14:textId="77777777" w:rsidR="004C53DF" w:rsidRPr="007F005D" w:rsidRDefault="00B45F8B" w:rsidP="008D24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37813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Романюк В.В. Деякі особливості допиту неповнолітнього підозрюваного у кримінальному провадженні. </w:t>
      </w:r>
      <w:r w:rsidR="007F005D" w:rsidRPr="007F005D">
        <w:rPr>
          <w:rFonts w:ascii="Times New Roman" w:hAnsi="Times New Roman" w:cs="Times New Roman"/>
          <w:i/>
          <w:sz w:val="28"/>
          <w:szCs w:val="28"/>
          <w:lang w:val="uk-UA"/>
        </w:rPr>
        <w:t>Право і безпека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. 2016. № 4 (63). С. 81 – 85.</w:t>
      </w:r>
    </w:p>
    <w:p w14:paraId="6371D92B" w14:textId="77777777" w:rsidR="0047653D" w:rsidRPr="007F005D" w:rsidRDefault="0047653D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7F005D" w:rsidRPr="007F005D">
        <w:rPr>
          <w:rFonts w:ascii="Times New Roman" w:hAnsi="Times New Roman" w:cs="Times New Roman"/>
          <w:sz w:val="28"/>
          <w:szCs w:val="28"/>
          <w:lang w:val="uk-UA"/>
        </w:rPr>
        <w:t>Романюк В.В. Кримінальне судочинство щодо неповнолітніх: монографія. Харків: «Друкарня Мадрид». 2016. 252 с.</w:t>
      </w:r>
    </w:p>
    <w:p w14:paraId="21A521F6" w14:textId="77777777" w:rsidR="0047653D" w:rsidRPr="007F005D" w:rsidRDefault="00B45F8B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8. Романюк В.В. Процесуальні особливості початку досудового слідства у кримінальних провадженнях щодо неповнолітніх. </w:t>
      </w:r>
      <w:r w:rsidR="0047653D" w:rsidRPr="007F005D">
        <w:rPr>
          <w:rFonts w:ascii="Times New Roman" w:hAnsi="Times New Roman" w:cs="Times New Roman"/>
          <w:i/>
          <w:sz w:val="28"/>
          <w:szCs w:val="28"/>
          <w:lang w:val="uk-UA"/>
        </w:rPr>
        <w:t>Вісник Харківського національного університету внутрішніх справ</w:t>
      </w:r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2016. </w:t>
      </w:r>
      <w:proofErr w:type="spellStart"/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7653D" w:rsidRPr="007F005D">
        <w:rPr>
          <w:rFonts w:ascii="Times New Roman" w:hAnsi="Times New Roman" w:cs="Times New Roman"/>
          <w:sz w:val="28"/>
          <w:szCs w:val="28"/>
          <w:lang w:val="uk-UA"/>
        </w:rPr>
        <w:t>. 4. С. 110 – 117.</w:t>
      </w:r>
    </w:p>
    <w:p w14:paraId="57149DF4" w14:textId="77777777" w:rsidR="0047653D" w:rsidRPr="007F005D" w:rsidRDefault="0047653D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7F005D">
        <w:rPr>
          <w:lang w:val="uk-UA"/>
        </w:rPr>
        <w:t xml:space="preserve"> 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Романюк В.В. Участь педагога, психолога та лікаря у кримінальному провадженні щодо неповнолітніх. </w:t>
      </w:r>
      <w:r w:rsidRPr="007F005D">
        <w:rPr>
          <w:rFonts w:ascii="Times New Roman" w:hAnsi="Times New Roman" w:cs="Times New Roman"/>
          <w:i/>
          <w:sz w:val="28"/>
          <w:szCs w:val="28"/>
          <w:lang w:val="uk-UA"/>
        </w:rPr>
        <w:t>Вісник ХНУВС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. 2014. № 4 (67). С. 101 – 109.</w:t>
      </w:r>
    </w:p>
    <w:p w14:paraId="4CFC6D56" w14:textId="77777777" w:rsidR="002E7EA6" w:rsidRPr="007F005D" w:rsidRDefault="00B45F8B" w:rsidP="00DF0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E7EA6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099E" w:rsidRPr="007F005D">
        <w:rPr>
          <w:rFonts w:ascii="Times New Roman" w:hAnsi="Times New Roman" w:cs="Times New Roman"/>
          <w:sz w:val="28"/>
          <w:szCs w:val="28"/>
          <w:lang w:val="uk-UA"/>
        </w:rPr>
        <w:t>Сівак О.В. Правова природа запобіжних заходів у кримінальному провадженні щодо неповнолітніх. Науковий вісник Національної академії внутрішніх справ. 2016. № 1 (98). С. 206 – 220.</w:t>
      </w:r>
    </w:p>
    <w:p w14:paraId="0AFB51F7" w14:textId="77777777" w:rsidR="0047653D" w:rsidRPr="007F005D" w:rsidRDefault="0047653D" w:rsidP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B45F8B" w:rsidRPr="007F00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005D">
        <w:rPr>
          <w:lang w:val="uk-UA"/>
        </w:rPr>
        <w:t xml:space="preserve"> 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Сівак О.В. Сутність правової природи запобіжних заходів, які застосовуються до неповнолітніх у кримінальному провадженні. </w:t>
      </w:r>
      <w:r w:rsidRPr="007F005D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Національної академії внутрішніх справ</w:t>
      </w:r>
      <w:r w:rsidRPr="007F005D">
        <w:rPr>
          <w:rFonts w:ascii="Times New Roman" w:hAnsi="Times New Roman" w:cs="Times New Roman"/>
          <w:sz w:val="28"/>
          <w:szCs w:val="28"/>
          <w:lang w:val="uk-UA"/>
        </w:rPr>
        <w:t>. 2016. С. 131 – 136.</w:t>
      </w:r>
    </w:p>
    <w:p w14:paraId="66841C69" w14:textId="77777777" w:rsidR="00DF099E" w:rsidRPr="007F005D" w:rsidRDefault="00B45F8B" w:rsidP="00DF0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F099E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05D1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Щербакова Г. Особливості застосування запобіжних заходів у кримінальних провадженнях щодо неповнолітніх. </w:t>
      </w:r>
      <w:r w:rsidR="00AF05D1" w:rsidRPr="007F005D">
        <w:rPr>
          <w:rFonts w:ascii="Times New Roman" w:hAnsi="Times New Roman" w:cs="Times New Roman"/>
          <w:i/>
          <w:sz w:val="28"/>
          <w:szCs w:val="28"/>
          <w:lang w:val="uk-UA"/>
        </w:rPr>
        <w:t>Науковий часопис Національної академії прокуратури України</w:t>
      </w:r>
      <w:r w:rsidR="00AF05D1" w:rsidRPr="007F005D">
        <w:rPr>
          <w:rFonts w:ascii="Times New Roman" w:hAnsi="Times New Roman" w:cs="Times New Roman"/>
          <w:sz w:val="28"/>
          <w:szCs w:val="28"/>
          <w:lang w:val="uk-UA"/>
        </w:rPr>
        <w:t>. 2016. № 4. С. 207 – 214.</w:t>
      </w:r>
    </w:p>
    <w:p w14:paraId="7542E45F" w14:textId="77777777" w:rsidR="0093620E" w:rsidRPr="00DB4488" w:rsidRDefault="00B45F8B" w:rsidP="008D24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5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3620E" w:rsidRPr="007F005D">
        <w:rPr>
          <w:rFonts w:ascii="Times New Roman" w:hAnsi="Times New Roman" w:cs="Times New Roman"/>
          <w:sz w:val="28"/>
          <w:szCs w:val="28"/>
          <w:lang w:val="uk-UA"/>
        </w:rPr>
        <w:t xml:space="preserve">. Щербакова Г. Гарантії забезпечення прав неповнолітнього підозрюваного, обвинуваченого під час затримання та взяття під варту. </w:t>
      </w:r>
      <w:r w:rsidR="0093620E" w:rsidRPr="007F005D">
        <w:rPr>
          <w:rFonts w:ascii="Times New Roman" w:hAnsi="Times New Roman" w:cs="Times New Roman"/>
          <w:i/>
          <w:sz w:val="28"/>
          <w:szCs w:val="28"/>
          <w:lang w:val="uk-UA"/>
        </w:rPr>
        <w:t>Науковий часопис Національної академії прокуратури України</w:t>
      </w:r>
      <w:r w:rsidR="0093620E" w:rsidRPr="007F005D">
        <w:rPr>
          <w:rFonts w:ascii="Times New Roman" w:hAnsi="Times New Roman" w:cs="Times New Roman"/>
          <w:sz w:val="28"/>
          <w:szCs w:val="28"/>
          <w:lang w:val="uk-UA"/>
        </w:rPr>
        <w:t>. 2017. № 4. С. 224 – 230.</w:t>
      </w:r>
    </w:p>
    <w:p w14:paraId="224016DC" w14:textId="77777777" w:rsidR="0047653D" w:rsidRPr="00DB4488" w:rsidRDefault="004765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653D" w:rsidRPr="00DB4488" w:rsidSect="00BD086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3F04" w14:textId="77777777" w:rsidR="00124E02" w:rsidRDefault="00124E02" w:rsidP="00BD086A">
      <w:pPr>
        <w:spacing w:after="0" w:line="240" w:lineRule="auto"/>
      </w:pPr>
      <w:r>
        <w:separator/>
      </w:r>
    </w:p>
  </w:endnote>
  <w:endnote w:type="continuationSeparator" w:id="0">
    <w:p w14:paraId="7EB1F6FC" w14:textId="77777777" w:rsidR="00124E02" w:rsidRDefault="00124E02" w:rsidP="00BD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D111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T4D6o00">
    <w:altName w:val="Times New Roman"/>
    <w:panose1 w:val="000000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roman"/>
    <w:notTrueType/>
    <w:pitch w:val="default"/>
  </w:font>
  <w:font w:name="TT4DBo00">
    <w:altName w:val="Times New Roman"/>
    <w:panose1 w:val="00000000000000000000"/>
    <w:charset w:val="00"/>
    <w:family w:val="roman"/>
    <w:notTrueType/>
    <w:pitch w:val="default"/>
  </w:font>
  <w:font w:name="TT4DDo00">
    <w:altName w:val="Times New Roman"/>
    <w:panose1 w:val="00000000000000000000"/>
    <w:charset w:val="00"/>
    <w:family w:val="roman"/>
    <w:notTrueType/>
    <w:pitch w:val="default"/>
  </w:font>
  <w:font w:name="TT4DCo00">
    <w:altName w:val="Times New Roman"/>
    <w:panose1 w:val="00000000000000000000"/>
    <w:charset w:val="00"/>
    <w:family w:val="roman"/>
    <w:notTrueType/>
    <w:pitch w:val="default"/>
  </w:font>
  <w:font w:name="TT4D7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86F7" w14:textId="77777777" w:rsidR="00124E02" w:rsidRDefault="00124E02" w:rsidP="00BD086A">
      <w:pPr>
        <w:spacing w:after="0" w:line="240" w:lineRule="auto"/>
      </w:pPr>
      <w:r>
        <w:separator/>
      </w:r>
    </w:p>
  </w:footnote>
  <w:footnote w:type="continuationSeparator" w:id="0">
    <w:p w14:paraId="539A7733" w14:textId="77777777" w:rsidR="00124E02" w:rsidRDefault="00124E02" w:rsidP="00BD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320015"/>
      <w:docPartObj>
        <w:docPartGallery w:val="Page Numbers (Top of Page)"/>
        <w:docPartUnique/>
      </w:docPartObj>
    </w:sdtPr>
    <w:sdtEndPr/>
    <w:sdtContent>
      <w:p w14:paraId="06348AD1" w14:textId="77777777" w:rsidR="007E155B" w:rsidRDefault="007E15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8F">
          <w:rPr>
            <w:noProof/>
          </w:rPr>
          <w:t>8</w:t>
        </w:r>
        <w:r>
          <w:fldChar w:fldCharType="end"/>
        </w:r>
      </w:p>
    </w:sdtContent>
  </w:sdt>
  <w:p w14:paraId="28BE29E0" w14:textId="77777777" w:rsidR="007E155B" w:rsidRDefault="007E15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D8AE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10A67"/>
    <w:multiLevelType w:val="hybridMultilevel"/>
    <w:tmpl w:val="82F220A2"/>
    <w:lvl w:ilvl="0" w:tplc="DD5A6DB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56D50D3"/>
    <w:multiLevelType w:val="hybridMultilevel"/>
    <w:tmpl w:val="3870A79C"/>
    <w:lvl w:ilvl="0" w:tplc="9312BE5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CA077B"/>
    <w:multiLevelType w:val="hybridMultilevel"/>
    <w:tmpl w:val="9606CECA"/>
    <w:lvl w:ilvl="0" w:tplc="0EE84D1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F23EF7"/>
    <w:multiLevelType w:val="hybridMultilevel"/>
    <w:tmpl w:val="7E423D4E"/>
    <w:lvl w:ilvl="0" w:tplc="3A6CD5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049"/>
    <w:rsid w:val="00001329"/>
    <w:rsid w:val="00022E9C"/>
    <w:rsid w:val="00024553"/>
    <w:rsid w:val="00026FB4"/>
    <w:rsid w:val="0003056C"/>
    <w:rsid w:val="00037DD4"/>
    <w:rsid w:val="000432DA"/>
    <w:rsid w:val="000454C7"/>
    <w:rsid w:val="00067FED"/>
    <w:rsid w:val="00075B27"/>
    <w:rsid w:val="00076F62"/>
    <w:rsid w:val="00096E18"/>
    <w:rsid w:val="000D1223"/>
    <w:rsid w:val="000F16F7"/>
    <w:rsid w:val="000F2EB3"/>
    <w:rsid w:val="000F541A"/>
    <w:rsid w:val="00106DBF"/>
    <w:rsid w:val="001077E9"/>
    <w:rsid w:val="00111352"/>
    <w:rsid w:val="00117A39"/>
    <w:rsid w:val="00124688"/>
    <w:rsid w:val="00124E02"/>
    <w:rsid w:val="00127F95"/>
    <w:rsid w:val="001331F7"/>
    <w:rsid w:val="001406C7"/>
    <w:rsid w:val="0014612F"/>
    <w:rsid w:val="00151DA2"/>
    <w:rsid w:val="001615F5"/>
    <w:rsid w:val="001900ED"/>
    <w:rsid w:val="00192220"/>
    <w:rsid w:val="0019248A"/>
    <w:rsid w:val="00194547"/>
    <w:rsid w:val="00197ADB"/>
    <w:rsid w:val="001A0C7D"/>
    <w:rsid w:val="001A0E85"/>
    <w:rsid w:val="001A2533"/>
    <w:rsid w:val="001A3246"/>
    <w:rsid w:val="001A4CA5"/>
    <w:rsid w:val="001A79D8"/>
    <w:rsid w:val="001B2613"/>
    <w:rsid w:val="001B6654"/>
    <w:rsid w:val="001C4942"/>
    <w:rsid w:val="001D6A53"/>
    <w:rsid w:val="001F037C"/>
    <w:rsid w:val="001F323C"/>
    <w:rsid w:val="001F350B"/>
    <w:rsid w:val="001F35CC"/>
    <w:rsid w:val="00202452"/>
    <w:rsid w:val="00205FF0"/>
    <w:rsid w:val="002216D9"/>
    <w:rsid w:val="002355AE"/>
    <w:rsid w:val="0024116C"/>
    <w:rsid w:val="00245517"/>
    <w:rsid w:val="002468C8"/>
    <w:rsid w:val="00260539"/>
    <w:rsid w:val="00274C5A"/>
    <w:rsid w:val="0029467F"/>
    <w:rsid w:val="00294A08"/>
    <w:rsid w:val="002A0AA8"/>
    <w:rsid w:val="002A358B"/>
    <w:rsid w:val="002A5BFF"/>
    <w:rsid w:val="002B7159"/>
    <w:rsid w:val="002E4BC5"/>
    <w:rsid w:val="002E7EA6"/>
    <w:rsid w:val="002F14AF"/>
    <w:rsid w:val="003059D9"/>
    <w:rsid w:val="00305D08"/>
    <w:rsid w:val="003147A4"/>
    <w:rsid w:val="003202F7"/>
    <w:rsid w:val="0032318B"/>
    <w:rsid w:val="0032447C"/>
    <w:rsid w:val="00327BD3"/>
    <w:rsid w:val="00336506"/>
    <w:rsid w:val="00342CBD"/>
    <w:rsid w:val="0035558E"/>
    <w:rsid w:val="00380DB3"/>
    <w:rsid w:val="00393875"/>
    <w:rsid w:val="00394E2F"/>
    <w:rsid w:val="003A31EC"/>
    <w:rsid w:val="003B1409"/>
    <w:rsid w:val="003B3B96"/>
    <w:rsid w:val="003B4A31"/>
    <w:rsid w:val="003C083A"/>
    <w:rsid w:val="003C0A2C"/>
    <w:rsid w:val="003C1005"/>
    <w:rsid w:val="003C516D"/>
    <w:rsid w:val="003D12E8"/>
    <w:rsid w:val="003D1F9F"/>
    <w:rsid w:val="003E1586"/>
    <w:rsid w:val="003F20C0"/>
    <w:rsid w:val="004015F6"/>
    <w:rsid w:val="004026F5"/>
    <w:rsid w:val="0040384D"/>
    <w:rsid w:val="00405A96"/>
    <w:rsid w:val="00426C7C"/>
    <w:rsid w:val="00433D4D"/>
    <w:rsid w:val="00437E59"/>
    <w:rsid w:val="00440BBD"/>
    <w:rsid w:val="004460CB"/>
    <w:rsid w:val="00450E7D"/>
    <w:rsid w:val="00455AC8"/>
    <w:rsid w:val="00456D4B"/>
    <w:rsid w:val="00461068"/>
    <w:rsid w:val="004726D8"/>
    <w:rsid w:val="0047653D"/>
    <w:rsid w:val="0048399D"/>
    <w:rsid w:val="00494408"/>
    <w:rsid w:val="004A60A5"/>
    <w:rsid w:val="004B3B4C"/>
    <w:rsid w:val="004C0D4A"/>
    <w:rsid w:val="004C0F56"/>
    <w:rsid w:val="004C53DF"/>
    <w:rsid w:val="004C6416"/>
    <w:rsid w:val="004C7D23"/>
    <w:rsid w:val="004D2D8C"/>
    <w:rsid w:val="004D7983"/>
    <w:rsid w:val="004E38CB"/>
    <w:rsid w:val="004E66B5"/>
    <w:rsid w:val="004E6916"/>
    <w:rsid w:val="004F00A3"/>
    <w:rsid w:val="005017BC"/>
    <w:rsid w:val="00503585"/>
    <w:rsid w:val="00511E98"/>
    <w:rsid w:val="005207CF"/>
    <w:rsid w:val="005212AE"/>
    <w:rsid w:val="00522C6C"/>
    <w:rsid w:val="00544E17"/>
    <w:rsid w:val="005471FB"/>
    <w:rsid w:val="005526EF"/>
    <w:rsid w:val="00563FF7"/>
    <w:rsid w:val="00565487"/>
    <w:rsid w:val="0058142E"/>
    <w:rsid w:val="0058694E"/>
    <w:rsid w:val="00593DA0"/>
    <w:rsid w:val="005B2506"/>
    <w:rsid w:val="005C0B5B"/>
    <w:rsid w:val="005C6002"/>
    <w:rsid w:val="005D2001"/>
    <w:rsid w:val="005D3E12"/>
    <w:rsid w:val="005E7581"/>
    <w:rsid w:val="005F3E48"/>
    <w:rsid w:val="00600075"/>
    <w:rsid w:val="006278E6"/>
    <w:rsid w:val="00643098"/>
    <w:rsid w:val="00657A54"/>
    <w:rsid w:val="00664A92"/>
    <w:rsid w:val="00676C35"/>
    <w:rsid w:val="0068328D"/>
    <w:rsid w:val="006920EB"/>
    <w:rsid w:val="0069575B"/>
    <w:rsid w:val="006A6707"/>
    <w:rsid w:val="006A777A"/>
    <w:rsid w:val="006B2130"/>
    <w:rsid w:val="006B5A88"/>
    <w:rsid w:val="006C684D"/>
    <w:rsid w:val="006D413D"/>
    <w:rsid w:val="006E20E7"/>
    <w:rsid w:val="006E5326"/>
    <w:rsid w:val="0070202D"/>
    <w:rsid w:val="0071347C"/>
    <w:rsid w:val="00722D23"/>
    <w:rsid w:val="00723A25"/>
    <w:rsid w:val="0072799C"/>
    <w:rsid w:val="00730AF0"/>
    <w:rsid w:val="00730CE7"/>
    <w:rsid w:val="00733CFE"/>
    <w:rsid w:val="007346C8"/>
    <w:rsid w:val="0074682F"/>
    <w:rsid w:val="0075557F"/>
    <w:rsid w:val="00774D87"/>
    <w:rsid w:val="007763BC"/>
    <w:rsid w:val="00776729"/>
    <w:rsid w:val="007822CA"/>
    <w:rsid w:val="00797E25"/>
    <w:rsid w:val="007A2F87"/>
    <w:rsid w:val="007A65C8"/>
    <w:rsid w:val="007B3E3B"/>
    <w:rsid w:val="007B4AC9"/>
    <w:rsid w:val="007B6989"/>
    <w:rsid w:val="007D0C12"/>
    <w:rsid w:val="007D7556"/>
    <w:rsid w:val="007E1132"/>
    <w:rsid w:val="007E155B"/>
    <w:rsid w:val="007E5875"/>
    <w:rsid w:val="007E78A4"/>
    <w:rsid w:val="007E78FC"/>
    <w:rsid w:val="007F005D"/>
    <w:rsid w:val="007F65BD"/>
    <w:rsid w:val="007F79DA"/>
    <w:rsid w:val="007F7FC3"/>
    <w:rsid w:val="008320EC"/>
    <w:rsid w:val="00833A0E"/>
    <w:rsid w:val="00836669"/>
    <w:rsid w:val="00843BCC"/>
    <w:rsid w:val="00844410"/>
    <w:rsid w:val="008467DF"/>
    <w:rsid w:val="00852523"/>
    <w:rsid w:val="00860F31"/>
    <w:rsid w:val="00874759"/>
    <w:rsid w:val="008B133D"/>
    <w:rsid w:val="008B4119"/>
    <w:rsid w:val="008B44B3"/>
    <w:rsid w:val="008C5A66"/>
    <w:rsid w:val="008D24E7"/>
    <w:rsid w:val="008E3E49"/>
    <w:rsid w:val="008F377B"/>
    <w:rsid w:val="008F593A"/>
    <w:rsid w:val="00902A1C"/>
    <w:rsid w:val="00913F3C"/>
    <w:rsid w:val="00915F7B"/>
    <w:rsid w:val="0093620E"/>
    <w:rsid w:val="00937813"/>
    <w:rsid w:val="00956206"/>
    <w:rsid w:val="00957C9A"/>
    <w:rsid w:val="00961B5D"/>
    <w:rsid w:val="009723F4"/>
    <w:rsid w:val="00974604"/>
    <w:rsid w:val="00974DFE"/>
    <w:rsid w:val="00975147"/>
    <w:rsid w:val="00980C3A"/>
    <w:rsid w:val="00990C61"/>
    <w:rsid w:val="009940C6"/>
    <w:rsid w:val="0099505A"/>
    <w:rsid w:val="00995F92"/>
    <w:rsid w:val="009A191F"/>
    <w:rsid w:val="009B005D"/>
    <w:rsid w:val="009B1523"/>
    <w:rsid w:val="009B3724"/>
    <w:rsid w:val="009C542E"/>
    <w:rsid w:val="009D1B3B"/>
    <w:rsid w:val="009E6810"/>
    <w:rsid w:val="009F7EDC"/>
    <w:rsid w:val="00A13380"/>
    <w:rsid w:val="00A24360"/>
    <w:rsid w:val="00A35BC5"/>
    <w:rsid w:val="00A370E6"/>
    <w:rsid w:val="00A63F61"/>
    <w:rsid w:val="00A71157"/>
    <w:rsid w:val="00A754B1"/>
    <w:rsid w:val="00A75A62"/>
    <w:rsid w:val="00A774DD"/>
    <w:rsid w:val="00A811E0"/>
    <w:rsid w:val="00A819BA"/>
    <w:rsid w:val="00A8382C"/>
    <w:rsid w:val="00AB1B70"/>
    <w:rsid w:val="00AC192B"/>
    <w:rsid w:val="00AD7F52"/>
    <w:rsid w:val="00AE278F"/>
    <w:rsid w:val="00AE57DB"/>
    <w:rsid w:val="00AE7838"/>
    <w:rsid w:val="00AF05D1"/>
    <w:rsid w:val="00B02899"/>
    <w:rsid w:val="00B04725"/>
    <w:rsid w:val="00B07D5C"/>
    <w:rsid w:val="00B12686"/>
    <w:rsid w:val="00B15D1B"/>
    <w:rsid w:val="00B2245A"/>
    <w:rsid w:val="00B32470"/>
    <w:rsid w:val="00B4422D"/>
    <w:rsid w:val="00B45F8B"/>
    <w:rsid w:val="00B55850"/>
    <w:rsid w:val="00B64AAC"/>
    <w:rsid w:val="00B7720A"/>
    <w:rsid w:val="00B77978"/>
    <w:rsid w:val="00B841B0"/>
    <w:rsid w:val="00B85B6A"/>
    <w:rsid w:val="00B93049"/>
    <w:rsid w:val="00BA25A3"/>
    <w:rsid w:val="00BA6A15"/>
    <w:rsid w:val="00BB1261"/>
    <w:rsid w:val="00BC4575"/>
    <w:rsid w:val="00BC7A5E"/>
    <w:rsid w:val="00BD086A"/>
    <w:rsid w:val="00BD2DCC"/>
    <w:rsid w:val="00BD6DD3"/>
    <w:rsid w:val="00BD6E39"/>
    <w:rsid w:val="00BE7D55"/>
    <w:rsid w:val="00BF233F"/>
    <w:rsid w:val="00BF6AEB"/>
    <w:rsid w:val="00C047C6"/>
    <w:rsid w:val="00C10C1E"/>
    <w:rsid w:val="00C11FE8"/>
    <w:rsid w:val="00C140D0"/>
    <w:rsid w:val="00C14326"/>
    <w:rsid w:val="00C4036B"/>
    <w:rsid w:val="00C6780B"/>
    <w:rsid w:val="00C76A8E"/>
    <w:rsid w:val="00C9641D"/>
    <w:rsid w:val="00CD2546"/>
    <w:rsid w:val="00CF0585"/>
    <w:rsid w:val="00CF0EF6"/>
    <w:rsid w:val="00D02011"/>
    <w:rsid w:val="00D13244"/>
    <w:rsid w:val="00D14D85"/>
    <w:rsid w:val="00D21BEB"/>
    <w:rsid w:val="00D21CE4"/>
    <w:rsid w:val="00D22749"/>
    <w:rsid w:val="00D2578A"/>
    <w:rsid w:val="00D26DD0"/>
    <w:rsid w:val="00D3180C"/>
    <w:rsid w:val="00D33C26"/>
    <w:rsid w:val="00D406BF"/>
    <w:rsid w:val="00D65D54"/>
    <w:rsid w:val="00D748EC"/>
    <w:rsid w:val="00D7558B"/>
    <w:rsid w:val="00D809EF"/>
    <w:rsid w:val="00D86DCB"/>
    <w:rsid w:val="00D907EA"/>
    <w:rsid w:val="00DA65A5"/>
    <w:rsid w:val="00DB4488"/>
    <w:rsid w:val="00DB7F48"/>
    <w:rsid w:val="00DC33E1"/>
    <w:rsid w:val="00DD6852"/>
    <w:rsid w:val="00DF099E"/>
    <w:rsid w:val="00DF27BB"/>
    <w:rsid w:val="00E0291A"/>
    <w:rsid w:val="00E0711C"/>
    <w:rsid w:val="00E10DCB"/>
    <w:rsid w:val="00E305A8"/>
    <w:rsid w:val="00E35F1B"/>
    <w:rsid w:val="00E41C46"/>
    <w:rsid w:val="00E51B6F"/>
    <w:rsid w:val="00E52C97"/>
    <w:rsid w:val="00E52DCE"/>
    <w:rsid w:val="00E65423"/>
    <w:rsid w:val="00E951F7"/>
    <w:rsid w:val="00E955D2"/>
    <w:rsid w:val="00ED1BBF"/>
    <w:rsid w:val="00ED5892"/>
    <w:rsid w:val="00F040ED"/>
    <w:rsid w:val="00F07240"/>
    <w:rsid w:val="00F11287"/>
    <w:rsid w:val="00F14540"/>
    <w:rsid w:val="00F2633C"/>
    <w:rsid w:val="00F30A41"/>
    <w:rsid w:val="00F51932"/>
    <w:rsid w:val="00F52763"/>
    <w:rsid w:val="00F632FF"/>
    <w:rsid w:val="00F80B44"/>
    <w:rsid w:val="00F827C1"/>
    <w:rsid w:val="00F8387D"/>
    <w:rsid w:val="00F96E11"/>
    <w:rsid w:val="00FA086F"/>
    <w:rsid w:val="00FA22AB"/>
    <w:rsid w:val="00FA2465"/>
    <w:rsid w:val="00FB37EB"/>
    <w:rsid w:val="00FC163C"/>
    <w:rsid w:val="00FD3900"/>
    <w:rsid w:val="00FF416C"/>
    <w:rsid w:val="00FF4F2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DF8"/>
  <w15:docId w15:val="{65EF6DFD-A7F4-416D-AD2D-D3D939C5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D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D086A"/>
  </w:style>
  <w:style w:type="paragraph" w:styleId="a6">
    <w:name w:val="footer"/>
    <w:basedOn w:val="a0"/>
    <w:link w:val="a7"/>
    <w:uiPriority w:val="99"/>
    <w:unhideWhenUsed/>
    <w:rsid w:val="00BD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D086A"/>
  </w:style>
  <w:style w:type="paragraph" w:customStyle="1" w:styleId="rvps2">
    <w:name w:val="rvps2"/>
    <w:basedOn w:val="a0"/>
    <w:rsid w:val="005E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1"/>
    <w:rsid w:val="005E7581"/>
  </w:style>
  <w:style w:type="character" w:styleId="a8">
    <w:name w:val="Hyperlink"/>
    <w:basedOn w:val="a1"/>
    <w:uiPriority w:val="99"/>
    <w:unhideWhenUsed/>
    <w:rsid w:val="005E7581"/>
    <w:rPr>
      <w:color w:val="0000FF"/>
      <w:u w:val="single"/>
    </w:rPr>
  </w:style>
  <w:style w:type="character" w:customStyle="1" w:styleId="fontstyle01">
    <w:name w:val="fontstyle01"/>
    <w:basedOn w:val="a1"/>
    <w:rsid w:val="00437E59"/>
    <w:rPr>
      <w:rFonts w:ascii="TTD111o00" w:hAnsi="TTD11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1F35C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1"/>
    <w:rsid w:val="004A60A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4A60A5"/>
    <w:rPr>
      <w:rFonts w:ascii="TT4D6o00" w:hAnsi="TT4D6o00" w:hint="default"/>
      <w:b w:val="0"/>
      <w:bCs w:val="0"/>
      <w:i w:val="0"/>
      <w:iCs w:val="0"/>
      <w:color w:val="000000"/>
      <w:sz w:val="8"/>
      <w:szCs w:val="8"/>
    </w:rPr>
  </w:style>
  <w:style w:type="character" w:customStyle="1" w:styleId="fontstyle41">
    <w:name w:val="fontstyle41"/>
    <w:basedOn w:val="a1"/>
    <w:rsid w:val="004A60A5"/>
    <w:rPr>
      <w:rFonts w:ascii="Helvetica-Bold" w:hAnsi="Helvetic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1"/>
    <w:rsid w:val="004A60A5"/>
    <w:rPr>
      <w:rFonts w:ascii="TT4DBo00" w:hAnsi="TT4DB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1"/>
    <w:rsid w:val="004A60A5"/>
    <w:rPr>
      <w:rFonts w:ascii="TT4DDo00" w:hAnsi="TT4DD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a1"/>
    <w:rsid w:val="004A60A5"/>
    <w:rPr>
      <w:rFonts w:ascii="TT4DCo00" w:hAnsi="TT4DCo00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0"/>
    <w:uiPriority w:val="34"/>
    <w:qFormat/>
    <w:rsid w:val="00E41C4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0C7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2AF7-9693-47D1-B5B5-08DD86C6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10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Оксана Смолярчук</cp:lastModifiedBy>
  <cp:revision>106</cp:revision>
  <dcterms:created xsi:type="dcterms:W3CDTF">2019-05-08T15:52:00Z</dcterms:created>
  <dcterms:modified xsi:type="dcterms:W3CDTF">2020-03-29T07:41:00Z</dcterms:modified>
</cp:coreProperties>
</file>