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C79D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25AD9420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29057A">
        <w:rPr>
          <w:rFonts w:ascii="Times New Roman" w:hAnsi="Times New Roman"/>
          <w:sz w:val="28"/>
          <w:szCs w:val="28"/>
          <w:lang w:val="uk-UA"/>
        </w:rPr>
        <w:t>..……………………………………………………………………….</w:t>
      </w:r>
      <w:r w:rsidRPr="0029057A"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0F184B0C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1. ЗАГАЛЬНІ ПОЛОЖЕННЯ ПРО РОЗРАХУНКИ У ГОСПОДАРСЬКІЙ ДІЯЛЬНОСТІ………………………………………………5</w:t>
      </w:r>
    </w:p>
    <w:p w14:paraId="3203C06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1.1. Поняття та класифікація розрахунків у сфері господарювання………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14:paraId="54F946B2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1.2. Правове регулювання розрахунків у сфері господарювання...............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10</w:t>
      </w:r>
    </w:p>
    <w:p w14:paraId="7A1A109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2. ОКРЕМІ ВИДИ РОЗРАХУНКІВ У СФЕРІ ГОСПОДАРЮВАННЯ………………………………………………………...…13</w:t>
      </w:r>
    </w:p>
    <w:p w14:paraId="54FBBA0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2.1. Готівкові розрахунки у сфері господарювання ………………………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13</w:t>
      </w:r>
    </w:p>
    <w:p w14:paraId="581CE03B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2.2. Безготівкові розрахунки у сфері господарювання……………………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18</w:t>
      </w:r>
    </w:p>
    <w:p w14:paraId="66D32607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2.3. Міжбанківські розрахунки…………………………..……………….…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27</w:t>
      </w:r>
    </w:p>
    <w:p w14:paraId="4D66B847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>2.4. Зовнішньоекономічні розрахунки………………………………..…….</w:t>
      </w: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30</w:t>
      </w:r>
    </w:p>
    <w:p w14:paraId="78B85E8C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ВИСНОВКИ………………………………………………………….….…..36</w:t>
      </w:r>
    </w:p>
    <w:p w14:paraId="54100A22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ДЖЕРЕЛ………………………………...38</w:t>
      </w:r>
    </w:p>
    <w:p w14:paraId="06619C2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AF9FC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90ECC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79E0C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72ED2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BD687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D1C147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F0782A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3EC60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3F4A85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A733C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C390FF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9E7C6C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829C2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06A7E1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63499F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C0BF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7432D259" w14:textId="08DC7F26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sz w:val="28"/>
          <w:szCs w:val="28"/>
          <w:lang w:val="uk-UA"/>
        </w:rPr>
        <w:t xml:space="preserve">Інститут грошових розрахунків між суб’єктами господарської діяльності є однією з найважливіших складових ринкової економіки України, яка нещодавно стала на шлях розбудови ринкової </w:t>
      </w:r>
      <w:r w:rsidR="008A7D57">
        <w:rPr>
          <w:rFonts w:ascii="Times New Roman" w:hAnsi="Times New Roman"/>
          <w:sz w:val="28"/>
          <w:szCs w:val="28"/>
          <w:lang w:val="uk-UA"/>
        </w:rPr>
        <w:t>…..</w:t>
      </w:r>
    </w:p>
    <w:p w14:paraId="5CBC8A34" w14:textId="4B3F4D15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sz w:val="28"/>
          <w:szCs w:val="28"/>
          <w:lang w:val="uk-UA"/>
        </w:rPr>
        <w:t xml:space="preserve">Дослідженням питань розрахунків у сфері господарювання займалось чимала кількість науковців, серед яких М. Білуха, Д.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Блейк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І.Т.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Бала</w:t>
      </w:r>
      <w:r w:rsidRPr="0029057A">
        <w:rPr>
          <w:rFonts w:ascii="Times New Roman" w:hAnsi="Times New Roman"/>
          <w:sz w:val="28"/>
          <w:szCs w:val="28"/>
          <w:lang w:val="uk-UA"/>
        </w:rPr>
        <w:softHyphen/>
        <w:t>банова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В.І. Борисова, Є.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Брігхем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Ю.В. Ващенко, О.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Велш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Л.К. Воронова, Ф.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Вуд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А.С.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Гальчинський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 xml:space="preserve">, А.М. </w:t>
      </w:r>
      <w:r w:rsidR="008A7D57">
        <w:rPr>
          <w:rFonts w:ascii="Times New Roman" w:hAnsi="Times New Roman"/>
          <w:sz w:val="28"/>
          <w:szCs w:val="28"/>
          <w:lang w:val="uk-UA"/>
        </w:rPr>
        <w:t>….</w:t>
      </w:r>
    </w:p>
    <w:p w14:paraId="480EE00E" w14:textId="66A4C1B5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 xml:space="preserve">Метою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даної роботи є </w:t>
      </w:r>
      <w:r w:rsidR="008A7D57">
        <w:rPr>
          <w:rFonts w:ascii="Times New Roman" w:hAnsi="Times New Roman"/>
          <w:sz w:val="28"/>
          <w:szCs w:val="28"/>
          <w:lang w:val="uk-UA"/>
        </w:rPr>
        <w:t>…</w:t>
      </w:r>
    </w:p>
    <w:p w14:paraId="7DB659E4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29057A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210E5DE" w14:textId="75448054" w:rsidR="006548F9" w:rsidRPr="0029057A" w:rsidRDefault="008A7D57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4D4F546F" w14:textId="47A99FEC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8A7D57">
        <w:rPr>
          <w:rFonts w:ascii="Times New Roman" w:hAnsi="Times New Roman"/>
          <w:sz w:val="28"/>
          <w:szCs w:val="28"/>
          <w:lang w:val="uk-UA"/>
        </w:rPr>
        <w:t>…</w:t>
      </w:r>
    </w:p>
    <w:p w14:paraId="7766F78B" w14:textId="3C0C000B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курсової </w:t>
      </w:r>
      <w:r w:rsidR="008A7D57">
        <w:rPr>
          <w:rFonts w:ascii="Times New Roman" w:hAnsi="Times New Roman"/>
          <w:sz w:val="28"/>
          <w:szCs w:val="28"/>
          <w:lang w:val="uk-UA"/>
        </w:rPr>
        <w:t>…</w:t>
      </w:r>
      <w:r w:rsidRPr="0029057A">
        <w:rPr>
          <w:rFonts w:ascii="Times New Roman" w:hAnsi="Times New Roman"/>
          <w:sz w:val="28"/>
          <w:szCs w:val="28"/>
          <w:lang w:val="uk-UA"/>
        </w:rPr>
        <w:t>.</w:t>
      </w:r>
    </w:p>
    <w:p w14:paraId="44338BCD" w14:textId="6E07E363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курсової роботи є </w:t>
      </w:r>
      <w:r w:rsidR="0087011A">
        <w:rPr>
          <w:rFonts w:ascii="Times New Roman" w:hAnsi="Times New Roman"/>
          <w:sz w:val="28"/>
          <w:szCs w:val="28"/>
          <w:lang w:val="uk-UA"/>
        </w:rPr>
        <w:t>…</w:t>
      </w:r>
    </w:p>
    <w:p w14:paraId="08871E81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шести підрозділів, висновків та списку використаних літературних джерел.</w:t>
      </w:r>
    </w:p>
    <w:p w14:paraId="42A9E4F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C20172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FBE35D9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F24B1F4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DCBBB9A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BE8D43F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E232B6F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6462428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BE5DC69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C4585BA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2282BC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A235645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8B14FA9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1</w:t>
      </w:r>
    </w:p>
    <w:p w14:paraId="3549E1E2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ЗАГАЛЬНІ ПОЛОЖЕННЯ ПРО РОЗРАХУНКИ У ГОСПОДАРСЬКІЙ ДІЯЛЬНОСТІ</w:t>
      </w:r>
    </w:p>
    <w:p w14:paraId="6E6B6C9F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1.1. Поняття та класифікація розрахунків у сфері господарювання</w:t>
      </w:r>
    </w:p>
    <w:p w14:paraId="2A330194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Між суб‘єктами господарювання, у процесі їх діяльності, виникають розрахункові відносини. Ці відносини, мають безпосередній зв'язок з формуванням оборотних та основних засобів, наданням послуг, реалізацією продукції, з придбанням товарно-матеріальних цінностей, розрахунками з фінансовими та соціальним фондами і організаціями тощо. [2</w:t>
      </w:r>
      <w:r w:rsidRPr="00CA6326">
        <w:rPr>
          <w:rFonts w:ascii="Times New Roman" w:hAnsi="Times New Roman"/>
          <w:sz w:val="28"/>
          <w:szCs w:val="28"/>
          <w:lang w:eastAsia="uk-UA"/>
        </w:rPr>
        <w:t>3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с.36</w:t>
      </w:r>
      <w:r w:rsidRPr="0029057A">
        <w:rPr>
          <w:rFonts w:ascii="Times New Roman" w:hAnsi="Times New Roman"/>
          <w:sz w:val="28"/>
          <w:szCs w:val="28"/>
          <w:lang w:eastAsia="uk-UA"/>
        </w:rPr>
        <w:t>]</w:t>
      </w:r>
    </w:p>
    <w:p w14:paraId="01D06150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За загаль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ним правилом для здійс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нення розраху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нків су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б’єкти го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с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по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дарювання зберігають гро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шо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ві ко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шти в устано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вах банків на відпо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відних раху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нках. [</w:t>
      </w:r>
      <w:r w:rsidRPr="00CA6326">
        <w:rPr>
          <w:rFonts w:ascii="Times New Roman" w:hAnsi="Times New Roman"/>
          <w:sz w:val="28"/>
          <w:szCs w:val="28"/>
          <w:lang w:val="uk-UA" w:eastAsia="uk-UA"/>
        </w:rPr>
        <w:t>12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с.518]</w:t>
      </w:r>
    </w:p>
    <w:p w14:paraId="3231E5AC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Інститут розрахунків за грошовими зобов’язаннями між суб’єктами підприємницької діяльності є надзвичайно важливою складовою ринкової економіки і вже сторіччями займає одне із чільних місць у системі комерційного права економічно розвинутих країн. В Україні, яка відносно недавно стала на шлях розбудови ринкової економіки, система розрахунків за грошовими зобов’язаннями активно розвивається. [</w:t>
      </w:r>
      <w:r w:rsidRPr="00CA6326">
        <w:rPr>
          <w:rFonts w:ascii="Times New Roman" w:hAnsi="Times New Roman"/>
          <w:sz w:val="28"/>
          <w:szCs w:val="28"/>
          <w:lang w:eastAsia="uk-UA"/>
        </w:rPr>
        <w:t>21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с.182]</w:t>
      </w:r>
    </w:p>
    <w:p w14:paraId="5A09ACB6" w14:textId="23AAE677" w:rsidR="006548F9" w:rsidRPr="00CA6326" w:rsidRDefault="006548F9" w:rsidP="008701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n478"/>
      <w:bookmarkStart w:id="1" w:name="n479"/>
      <w:bookmarkEnd w:id="0"/>
      <w:bookmarkEnd w:id="1"/>
      <w:r w:rsidRPr="0029057A">
        <w:rPr>
          <w:rFonts w:ascii="Times New Roman" w:hAnsi="Times New Roman"/>
          <w:sz w:val="28"/>
          <w:szCs w:val="28"/>
          <w:lang w:val="uk-UA" w:eastAsia="uk-UA"/>
        </w:rPr>
        <w:t>Побудова на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ціональної платіжної системи є важливим за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вданням центрального банку будь-якої країни. В Україні з 01.07.12 функціонує загальнодержав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на система електронних платежів, яка створена НБУ. Дослідження провідних </w:t>
      </w:r>
      <w:r w:rsidR="0087011A">
        <w:rPr>
          <w:rFonts w:ascii="Times New Roman" w:hAnsi="Times New Roman"/>
          <w:sz w:val="28"/>
          <w:szCs w:val="28"/>
          <w:lang w:val="uk-UA" w:eastAsia="uk-UA"/>
        </w:rPr>
        <w:t>…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 xml:space="preserve"> час і бажання держави розвиватися. [2</w:t>
      </w:r>
      <w:r w:rsidRPr="00CA6326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с.5]</w:t>
      </w:r>
    </w:p>
    <w:p w14:paraId="3D950D98" w14:textId="394D16BF" w:rsidR="006548F9" w:rsidRPr="0029057A" w:rsidRDefault="006548F9" w:rsidP="008701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 xml:space="preserve">Таким чином, </w:t>
      </w:r>
      <w:r w:rsidR="0087011A">
        <w:rPr>
          <w:rFonts w:ascii="Times New Roman" w:hAnsi="Times New Roman"/>
          <w:sz w:val="28"/>
          <w:szCs w:val="28"/>
          <w:lang w:val="uk-UA" w:eastAsia="uk-UA"/>
        </w:rPr>
        <w:t>…</w:t>
      </w:r>
    </w:p>
    <w:p w14:paraId="1A3764C6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A21D0A0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1.2. Правове регулювання розрахунків у сфері господарювання</w:t>
      </w:r>
    </w:p>
    <w:p w14:paraId="5E4D7C04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Закон України «Про платіжні системи та переказ коштів в Україні» визначає загальні засади функціонування платіжних систем і систем розрахунків в Україні, поняття та загальний порядок проведення переказу коштів у межах України, встановлює відповідальність суб'єктів переказу, а також визначає загальний порядок здійснення нагляду (</w:t>
      </w:r>
      <w:proofErr w:type="spellStart"/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оверсайта</w:t>
      </w:r>
      <w:proofErr w:type="spellEnd"/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 xml:space="preserve">) за платіжними системами, визначає форми та види розрахунків, види рахунків, що можуть відкриватися 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банками або іншими установами – учасниками платіжної системи своїм клієнтам. [7]</w:t>
      </w:r>
    </w:p>
    <w:p w14:paraId="5D9B82E3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ч. 1 ст. 99 Конституції України, грошовою одиницею України є гривня. [1]</w:t>
      </w:r>
    </w:p>
    <w:p w14:paraId="31F92BB6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Згідно з підпунктом 14.1.93 пункту 14.1 статті 14 Податкового кодексу України під коштами розуміється гривня або іноземна валюта. [3]</w:t>
      </w:r>
    </w:p>
    <w:p w14:paraId="3F0EB883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Згідно з п. 3.3 ст. 3 Закону України «Про платіжні системи та переказ коштів в Україні», гривня як грошо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softHyphen/>
        <w:t>ва одиниця України (гривня) є єдиним законним платіжним засобом в Україні, приймається усіма фізичними і юридичними особами без будь-яких обмежень на всій території України для прове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дення переказів та розрахунків. [7] </w:t>
      </w:r>
    </w:p>
    <w:p w14:paraId="32C959CD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частини 2 статті 32 Закону України «Про На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softHyphen/>
        <w:t>ціональний банк України» випуск та обіг на території України інших грошових одиниць і ви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softHyphen/>
        <w:t>користання грошових сурогатів як засобу пла</w:t>
      </w: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тежу забороняються. [6]</w:t>
      </w:r>
    </w:p>
    <w:p w14:paraId="19E7FB86" w14:textId="4DC9F51F" w:rsidR="006548F9" w:rsidRPr="0029057A" w:rsidRDefault="006548F9" w:rsidP="008701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 341 Господарського кодексу України встановлює, що розрахункові операції банків спрямовані на забезпечення взаємних розрахунків між учасниками господарських відносин, а також інших розрахунків у фінансовій сфері. Для </w:t>
      </w:r>
      <w:r w:rsidR="0087011A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</w:p>
    <w:p w14:paraId="37EFDF3C" w14:textId="11552BC5" w:rsidR="006548F9" w:rsidRPr="0029057A" w:rsidRDefault="006548F9" w:rsidP="008701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Підсумовуючи вищевикладене, </w:t>
      </w:r>
      <w:r w:rsidR="0087011A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</w:p>
    <w:p w14:paraId="0853C642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0E9941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BE20B97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9E3A1A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CBC8E69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8AFFB5B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24AA827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521AEB2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837A3ED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9989CF5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ECA1F06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B14EF9C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D3929FB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50C7B3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2</w:t>
      </w:r>
    </w:p>
    <w:p w14:paraId="0ADEEE21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ОКРЕМІ ВИДИ РОЗРАХУНКІВ У СФЕРІ ГОСПОДАРЮВАННЯ</w:t>
      </w:r>
    </w:p>
    <w:p w14:paraId="25622DF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2.1. Готівкові розрахунки у сфері господарювання</w:t>
      </w:r>
      <w:r w:rsidRPr="0029057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428A75F6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Стан економіки будь-якої країни значною мірою визначається рівнем організації грошового обороту загалом і готівкового грошового обігу зокрема. Стабільний і прогнозований його розвиток є необхідною умовою економічного розвитку держави. На сьогодні у банківській системі України важливе місце посідає готівковий грошовий обіг, який є однією з головних передумов забезпечення стабільності національної грошової одиниці. Проте він є найбільш капіталомістким і трудомістким видом банківської діяльності та у процесі розвитку має потребу постійного удосконалення. Саме тому належна організація грошового обігу є важливою для Національного банку України. [</w:t>
      </w:r>
      <w:r w:rsidRPr="00CA6326">
        <w:rPr>
          <w:rFonts w:ascii="Times New Roman" w:hAnsi="Times New Roman"/>
          <w:sz w:val="28"/>
          <w:szCs w:val="28"/>
          <w:lang w:val="uk-UA" w:eastAsia="uk-UA"/>
        </w:rPr>
        <w:t>26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с.428]</w:t>
      </w:r>
    </w:p>
    <w:p w14:paraId="7AF9C16C" w14:textId="66DB3AE1" w:rsidR="006548F9" w:rsidRPr="0029057A" w:rsidRDefault="006548F9" w:rsidP="00BD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Відповідно до п. 5 ч. 3 ст. 1 Положення про ведення касових операцій у національній валюті в Україні готівкові розрахунки - платежі готівкою суб'єктів господарювання і фізичних осіб за реалізовану продукцію (товари, виконані роботи, надані послуги</w:t>
      </w:r>
      <w:r w:rsidR="00BD3CD3">
        <w:rPr>
          <w:rFonts w:ascii="Times New Roman" w:hAnsi="Times New Roman"/>
          <w:sz w:val="28"/>
          <w:szCs w:val="28"/>
          <w:lang w:val="uk-UA" w:eastAsia="uk-UA"/>
        </w:rPr>
        <w:t>…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14:paraId="5A7E4BE9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2) залучення в правовідносини безготівкових розрахунків третіх осіб - банків, які обслуговують боржника і кредитора. [2</w:t>
      </w:r>
      <w:r w:rsidRPr="00CA6326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, с.42 – 43]</w:t>
      </w:r>
    </w:p>
    <w:p w14:paraId="14DBCCE7" w14:textId="128CC29C" w:rsidR="006548F9" w:rsidRPr="0029057A" w:rsidRDefault="006548F9" w:rsidP="00BD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Безго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тівко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ві розраху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нки між су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б’єктами го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с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по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дарю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вання здійс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нюють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ся відпо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відно до </w:t>
      </w:r>
      <w:proofErr w:type="spellStart"/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Iнстру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кції</w:t>
      </w:r>
      <w:proofErr w:type="spellEnd"/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 безго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тівко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ві розраху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нки в Україні в націо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наль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ній валю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ті, затвер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дженої по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стано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вою Правління Націо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нально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го банку України від 21 січ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ня 2004 р. № 22 та інших но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р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мативних актів. Згідно з ч. 3 ст. 341 Господарського кодексу України </w:t>
      </w:r>
      <w:r w:rsidR="00BD3CD3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</w:p>
    <w:p w14:paraId="031C1BB8" w14:textId="55418CF8" w:rsidR="006548F9" w:rsidRPr="0029057A" w:rsidRDefault="006548F9" w:rsidP="00BD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Таким чином, </w:t>
      </w:r>
      <w:r w:rsidR="00BD3CD3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</w:p>
    <w:p w14:paraId="6860220E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B07667A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5F33CAB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F6B70F9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7D9B5E2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6236622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9103DEA" w14:textId="43A5A38D" w:rsidR="006548F9" w:rsidRPr="0029057A" w:rsidRDefault="00BD3CD3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…</w:t>
      </w:r>
    </w:p>
    <w:p w14:paraId="7F242EF8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A2ACEC4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2.3. Міжбанківські розрахунки </w:t>
      </w:r>
    </w:p>
    <w:p w14:paraId="474AF39E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Нормальне функціонування економіки важко уявити без системи розрахунків між суб’єктами господарської діяльності, забезпечення надійності та своєчасності платежів. У розрахунках і </w:t>
      </w:r>
      <w:proofErr w:type="spellStart"/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платежах</w:t>
      </w:r>
      <w:proofErr w:type="spellEnd"/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, які здійснюються установами банків, відображаються практично всі види економічних відносин у суспільстві. І все це неможливо без розрахунків між банками. Для забезпечення міжбанківських розрахунків створюються спеціальні платіжні системи. Платіжні системи міжбанківських розрахунків різних країн організовані по-різному, і у світі не існує єдиної платіжної моделі, однак є загальні принципи і характеристики, які визначають функціонування національних платіжних систем. Україна вивчивши кращий світовий досвід та запровадивши найсучасніші комп’ютерні технології створила досить оперативну, ефективну й надійну систему міжбанківських розрахунків - Систему електронних платежів (СЕП), що відповідає світовим стандартам. [</w:t>
      </w:r>
      <w:r w:rsidRPr="00CA6326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, с.1]</w:t>
      </w:r>
    </w:p>
    <w:p w14:paraId="2C8E2EBF" w14:textId="0F8E35C4" w:rsidR="006548F9" w:rsidRPr="0029057A" w:rsidRDefault="006548F9" w:rsidP="00BD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Законом Укра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їни «Про платіжні системи та переказ коштів в Укра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їні», систему електронних платежів Національного банку України (далі – СЕП) визначено державною системою міжбанківських розрахунків. Важливим складником </w:t>
      </w:r>
      <w:r w:rsidR="00BD3CD3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мають відповідати вимогам до розрахункових документів, що визначені нормативно-правовим актом Національного банку про безготівкові розрахунки в Україні в національній валюті. [10]</w:t>
      </w:r>
    </w:p>
    <w:p w14:paraId="51339289" w14:textId="70BC7A0C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Таким чином, </w:t>
      </w:r>
      <w:r w:rsidR="00BD3CD3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</w:p>
    <w:p w14:paraId="42897F04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FDA8FDA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9057A">
        <w:rPr>
          <w:rFonts w:ascii="Times New Roman" w:hAnsi="Times New Roman"/>
          <w:b/>
          <w:bCs/>
          <w:sz w:val="28"/>
          <w:szCs w:val="28"/>
          <w:lang w:val="uk-UA" w:eastAsia="ru-RU"/>
        </w:rPr>
        <w:t>2.4. Зовнішньоекономічні розрахунки</w:t>
      </w:r>
    </w:p>
    <w:p w14:paraId="6ECD580A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Відповідно до ст. 5 Закону України «Про зовнішньоекономічну діяльність» усі суб’єкти зовнішньоекономічної діяльності незалежно від форми власності та інших ознак мають рівне право здійснювати будь-які види зовнішньоекономічної 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діяльності та дії щодо її провадження, у тому числі будь-які валютні операції та розрахунки в іноземній валюті з іноземними суб’єктами господарської діяльності, що прямо не заборонені або не обмежені законодавством, у тому числі заходами захисту, запровадженими Національним банком України відповідно до </w:t>
      </w:r>
      <w:hyperlink r:id="rId7" w:tgtFrame="_blank" w:history="1">
        <w:r w:rsidRPr="0029057A">
          <w:rPr>
            <w:rFonts w:ascii="Times New Roman" w:hAnsi="Times New Roman"/>
            <w:color w:val="000000"/>
            <w:sz w:val="28"/>
            <w:szCs w:val="28"/>
            <w:lang w:val="uk-UA" w:eastAsia="uk-UA"/>
          </w:rPr>
          <w:t>Закону України</w:t>
        </w:r>
      </w:hyperlink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 «Про валюту і валютні операції». [5]</w:t>
      </w:r>
    </w:p>
    <w:p w14:paraId="56B75A2A" w14:textId="68AD5B68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При укладанні зовнішньоторговельної угоди, у процесі розробки та узгодження сучасних до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говірних зобов’язань, надзвичайно важливо відобразити максимально </w:t>
      </w:r>
      <w:r w:rsidR="00BD3CD3">
        <w:rPr>
          <w:rFonts w:ascii="Times New Roman" w:hAnsi="Times New Roman"/>
          <w:color w:val="000000"/>
          <w:sz w:val="28"/>
          <w:szCs w:val="28"/>
          <w:lang w:val="uk-UA" w:eastAsia="uk-UA"/>
        </w:rPr>
        <w:t>…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. [1</w:t>
      </w:r>
      <w:r w:rsidRPr="00CA6326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>, с.39 – 40]</w:t>
      </w:r>
    </w:p>
    <w:p w14:paraId="530AD1B3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Міжнародна платіжна система – платіжна система, в якій платіжна організація може бути як резидентом, так і нерезидентом і яка здійснює свою діяльність на території двох і більше країн та забезпечує проведення переказу коштів у меж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softHyphen/>
        <w:t>ах цієї платіжної системи, у тому числі з однієї країни в іншу. [2</w:t>
      </w:r>
      <w:r w:rsidRPr="00CA6326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с.83]</w:t>
      </w:r>
    </w:p>
    <w:p w14:paraId="611BB510" w14:textId="77777777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>Операціями в іноземній валюті вважаються господарські операції, вартість яких виражена в іноземній валюті, або господарські операції, що потребують розрахунків у іноземній валюті. Валютою України визначено грошові знаки у вигляді банкнот, монет, що перебувають в обороті і є законним платіжним засобом на території України, а також вилучені з обороту або такі, що вилучаються із нього, але підлягають обміну на грошові знаки, що перебувають в обороті. Здебільшого в Україні в зовнішньоекономічних розрахунках використовується євро або долар США. [</w:t>
      </w:r>
      <w:r w:rsidRPr="00CA632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29057A">
        <w:rPr>
          <w:rFonts w:ascii="Times New Roman" w:hAnsi="Times New Roman"/>
          <w:sz w:val="28"/>
          <w:szCs w:val="28"/>
          <w:lang w:val="uk-UA" w:eastAsia="uk-UA"/>
        </w:rPr>
        <w:t>, с.16 – 17]</w:t>
      </w:r>
    </w:p>
    <w:p w14:paraId="3424423F" w14:textId="00AC3A7F" w:rsidR="006548F9" w:rsidRPr="0029057A" w:rsidRDefault="006548F9" w:rsidP="00BD3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sz w:val="28"/>
          <w:szCs w:val="28"/>
          <w:lang w:val="uk-UA" w:eastAsia="uk-UA"/>
        </w:rPr>
        <w:t xml:space="preserve">Згідно зі ст. 344 Господарського кодексу України міжнародні розрахункові операції провадяться за грошовими вимогами і зобов'язаннями, що виникають при здійсненні зовнішньоекономічної діяльності між державами, суб'єктами господарювання, іншими </w:t>
      </w:r>
      <w:r w:rsidR="00BD3CD3">
        <w:rPr>
          <w:rFonts w:ascii="Times New Roman" w:hAnsi="Times New Roman"/>
          <w:sz w:val="28"/>
          <w:szCs w:val="28"/>
          <w:lang w:val="uk-UA" w:eastAsia="uk-UA"/>
        </w:rPr>
        <w:t>…</w:t>
      </w:r>
    </w:p>
    <w:p w14:paraId="6E0E3A88" w14:textId="7B946734" w:rsidR="006548F9" w:rsidRPr="0029057A" w:rsidRDefault="006548F9" w:rsidP="00290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9057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Отже, </w:t>
      </w:r>
      <w:r w:rsidR="00BD3CD3">
        <w:rPr>
          <w:rFonts w:ascii="Times New Roman" w:hAnsi="Times New Roman"/>
          <w:sz w:val="28"/>
          <w:szCs w:val="28"/>
          <w:lang w:val="uk-UA" w:eastAsia="uk-UA"/>
        </w:rPr>
        <w:t>..</w:t>
      </w:r>
    </w:p>
    <w:p w14:paraId="32E876D5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2393EF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EF0766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FBAA25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3BBB4255" w14:textId="77777777" w:rsidR="006548F9" w:rsidRPr="0029057A" w:rsidRDefault="006548F9" w:rsidP="002905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Fonts w:ascii="Times New Roman" w:hAnsi="Times New Roman"/>
          <w:sz w:val="28"/>
          <w:szCs w:val="28"/>
          <w:lang w:val="uk-UA"/>
        </w:rPr>
        <w:lastRenderedPageBreak/>
        <w:t>Дослідивши в даній курсовій роботи тему розрахунків у сфері господарювання, нами були зроблені наступні висновки.</w:t>
      </w:r>
    </w:p>
    <w:p w14:paraId="62BCF2E0" w14:textId="7F7DCC00" w:rsidR="006548F9" w:rsidRPr="0029057A" w:rsidRDefault="006548F9" w:rsidP="00BD3C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sz w:val="28"/>
          <w:szCs w:val="28"/>
          <w:lang w:val="uk-UA"/>
        </w:rPr>
        <w:t xml:space="preserve">1. Розрахунки у сфері господарювання – це важлива та невід’ємна частина підприємницької діяльності від якої залежить сучасна ринкова економіка нашої держави. Розрахунки </w:t>
      </w:r>
      <w:r w:rsidR="00BD3CD3">
        <w:rPr>
          <w:rFonts w:ascii="Times New Roman" w:hAnsi="Times New Roman"/>
          <w:sz w:val="28"/>
          <w:szCs w:val="28"/>
          <w:lang w:val="uk-UA"/>
        </w:rPr>
        <w:t>…</w:t>
      </w:r>
      <w:bookmarkStart w:id="2" w:name="_GoBack"/>
      <w:bookmarkEnd w:id="2"/>
    </w:p>
    <w:p w14:paraId="05BE7716" w14:textId="77777777" w:rsidR="006548F9" w:rsidRPr="0029057A" w:rsidRDefault="006548F9" w:rsidP="0029057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57A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76EB3632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1.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Конституція України від 28.06.1996 року. </w:t>
      </w:r>
      <w:r w:rsidRPr="0029057A">
        <w:rPr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29057A">
        <w:rPr>
          <w:rFonts w:ascii="Times New Roman" w:hAnsi="Times New Roman"/>
          <w:sz w:val="28"/>
          <w:szCs w:val="28"/>
          <w:lang w:val="uk-UA"/>
        </w:rPr>
        <w:t>. 1996. № 30. ст. 141.</w:t>
      </w:r>
    </w:p>
    <w:p w14:paraId="388B06A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2. Господарський кодекс України: Закон України від 16.01.2003 року № 436-IV.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2003. № 18, № 19-20, № 21-22. Ст. 144.</w:t>
      </w:r>
    </w:p>
    <w:p w14:paraId="488A7966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3.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Податковий кодекс України: Закон України від 02.12.2010 р. № 2755-VI. </w:t>
      </w:r>
      <w:r w:rsidRPr="0029057A">
        <w:rPr>
          <w:rFonts w:ascii="Times New Roman" w:hAnsi="Times New Roman"/>
          <w:i/>
          <w:sz w:val="28"/>
          <w:szCs w:val="28"/>
          <w:lang w:val="uk-UA"/>
        </w:rPr>
        <w:t xml:space="preserve">Відомості Верховної Ради України. </w:t>
      </w:r>
      <w:r w:rsidRPr="0029057A">
        <w:rPr>
          <w:rFonts w:ascii="Times New Roman" w:hAnsi="Times New Roman"/>
          <w:sz w:val="28"/>
          <w:szCs w:val="28"/>
          <w:lang w:val="uk-UA"/>
        </w:rPr>
        <w:t xml:space="preserve">2011 р. № 13,/№ 13-14, № 15-16, № 17/. </w:t>
      </w:r>
      <w:proofErr w:type="spellStart"/>
      <w:r w:rsidRPr="0029057A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Pr="0029057A">
        <w:rPr>
          <w:rFonts w:ascii="Times New Roman" w:hAnsi="Times New Roman"/>
          <w:sz w:val="28"/>
          <w:szCs w:val="28"/>
          <w:lang w:val="uk-UA"/>
        </w:rPr>
        <w:t>. 556, стаття 112.</w:t>
      </w:r>
    </w:p>
    <w:p w14:paraId="0360244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4. Про валюту і валютні операції: Закон України від 21.06.2018 р. № 2473-VIII.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29057A">
        <w:rPr>
          <w:rStyle w:val="fontstyle01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2018. № 30.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5. ст. 239.</w:t>
      </w:r>
    </w:p>
    <w:p w14:paraId="1A5BC887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5. Про зовнішньоекономічну діяльність: Закон України від 16.04.1991 року № 959-XII.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УРСР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1991. № 29. ст. 377.</w:t>
      </w:r>
    </w:p>
    <w:p w14:paraId="4E28A0A2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6. Про Національний банк України: Закон України від 20.05.1999 року № 679-XIV. </w:t>
      </w:r>
      <w:hyperlink r:id="rId8" w:tgtFrame="_blank" w:history="1">
        <w:r w:rsidRPr="0029057A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Відомості Верховної Ради України</w:t>
        </w:r>
      </w:hyperlink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 </w:t>
      </w:r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1999. № 29. ст. 238.</w:t>
      </w:r>
    </w:p>
    <w:p w14:paraId="07A74C88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7. Про платіжні системи та переказ коштів в Україні: Закон України від 05.04.2001 р. № 2346-III.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2001. № 29. ст. 137.</w:t>
      </w:r>
    </w:p>
    <w:p w14:paraId="382FC38A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8. Цивільний кодекс України: Закон України від 16.01.2003 року № 435-IV.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2003. №№ 40-44. Ст. 35.</w:t>
      </w:r>
    </w:p>
    <w:p w14:paraId="1B6D5F9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bCs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9. Про затвердження Інструкції про безготівкові розрахунки в Україні в національній валюті: Постанова Національного банку України від 21.01.2004 року № 22. </w:t>
      </w:r>
      <w:hyperlink r:id="rId9" w:tgtFrame="_blank" w:history="1">
        <w:r w:rsidRPr="0029057A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Офіційний вісник України</w:t>
        </w:r>
      </w:hyperlink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.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2004. № 13.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стор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. 110. ст. 908. код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 28330/2004.</w:t>
      </w:r>
    </w:p>
    <w:p w14:paraId="4DF84718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10. Про затвердження Інструкції про міжбанківський переказ коштів в Україні в національній валюті: Постанова Національного банку України від 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 xml:space="preserve">16.08.2006 року № 320. </w:t>
      </w:r>
      <w:hyperlink r:id="rId10" w:tgtFrame="_blank" w:history="1">
        <w:r w:rsidRPr="0029057A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Офіційний вісник України</w:t>
        </w:r>
      </w:hyperlink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 </w:t>
      </w:r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2006. № 36.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стор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. 32. ст. 2507. код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 37311/2006.</w:t>
      </w:r>
    </w:p>
    <w:p w14:paraId="48CC4281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bCs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11. Про затвердження Положення про ведення касових операцій у національній валюті в Україні: Постанова Національного банку України від 29.12.2017 року № 148. </w:t>
      </w:r>
      <w:hyperlink r:id="rId11" w:tgtFrame="_blank" w:history="1">
        <w:r w:rsidRPr="0029057A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Офіційний вісник України</w:t>
        </w:r>
      </w:hyperlink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2018. № 10.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стор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. 49. ст.. 369. код </w:t>
      </w:r>
      <w:proofErr w:type="spellStart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29057A">
        <w:rPr>
          <w:rStyle w:val="fontstyle01"/>
          <w:rFonts w:ascii="Times New Roman" w:hAnsi="Times New Roman"/>
          <w:bCs/>
          <w:sz w:val="28"/>
          <w:szCs w:val="28"/>
          <w:lang w:val="uk-UA"/>
        </w:rPr>
        <w:t xml:space="preserve"> 88967/2018.</w:t>
      </w:r>
    </w:p>
    <w:p w14:paraId="5F202015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12. Щербина B. C. Господарське право: підручник. 6-те вид., перероб. і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К.: Юрінком Інтер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2013. 640 с.</w:t>
      </w:r>
    </w:p>
    <w:p w14:paraId="6E7BC1EF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Вінічук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М. Облік валютних операцій у контексті зовнішньоекономічної діяльності підприємств.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Схід. Економічні науки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2016. № 6 (146). С. 16 – 19.</w:t>
      </w:r>
    </w:p>
    <w:p w14:paraId="1CCBD4C7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14. Глоба Н.С. Щодо ефективності заходів НБУ у сфері стимулювання безготівкових розрахунків.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Європейські перспективи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2013. № 11. С. 176 – 183.</w:t>
      </w:r>
    </w:p>
    <w:p w14:paraId="52AE9FF2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Дюкар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К.В., Бондаренко Н.М. Безготівкові розрахунки в Україні: сутність, сучасний стан та перспективи розвитку.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Матеріали V Міжнародної науково-практичної конференції. У 2 томах. м. Дніпро: ДНУ ім. О. Гончара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2017. С. 164 – 167.</w:t>
      </w:r>
    </w:p>
    <w:p w14:paraId="103AF5F6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16.  Князєва О.А.,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Осеньчук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Н.І. Тенденції та перспективи розвитку безготівкових платежів в Україні.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Молодий вчений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2017. № 6 (46). С. 438 – 442. </w:t>
      </w:r>
    </w:p>
    <w:p w14:paraId="40FA9930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Лукіянюк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А.В. Економічна сутність розрахунків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суб’ктів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державного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cектора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Збірник наукових праць студентів кафедри обліку в державному секторі економіки та сфері послуг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 2016. Випуск 1. С. 45 – 47.</w:t>
      </w:r>
    </w:p>
    <w:p w14:paraId="68D39077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Марич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М.Г.,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Марич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А.В. Особливості організації безготівкового обороту в Україні в сучасних умовах господарювання.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Науковий вісник Херсонського державного університету.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Серія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Економічні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науки. </w:t>
      </w:r>
      <w:r w:rsidRPr="0029057A">
        <w:rPr>
          <w:rStyle w:val="fontstyle01"/>
          <w:rFonts w:ascii="Times New Roman" w:hAnsi="Times New Roman"/>
          <w:sz w:val="28"/>
          <w:szCs w:val="28"/>
        </w:rPr>
        <w:t xml:space="preserve">2018.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Випуск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30. Частина 2. С. 79 – 83.</w:t>
      </w:r>
    </w:p>
    <w:p w14:paraId="175A10C1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19. Носач Л. Л., Величко К. Ю. Системність вибору оптимальної форми оплати міжнародних розрахунків.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Бізнесінформ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2016. № 10. С. 39 – 46.</w:t>
      </w:r>
    </w:p>
    <w:p w14:paraId="754188B0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20. Олешко А. А. Інноваційні тенденції розвитку безготівкової економіки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Інвестиції: практика та досвід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2018. № 10. С. 22 – 25. </w:t>
      </w:r>
    </w:p>
    <w:p w14:paraId="6E25BA33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 xml:space="preserve">21.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Петрина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В.Н.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Розрахунки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за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інкасовими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дорученнями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між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суб’єктами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господарювання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України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проблеми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правового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регулювання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Часопис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Київського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університету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права</w:t>
      </w:r>
      <w:r w:rsidRPr="0029057A">
        <w:rPr>
          <w:rStyle w:val="fontstyle01"/>
          <w:rFonts w:ascii="Times New Roman" w:hAnsi="Times New Roman"/>
          <w:sz w:val="28"/>
          <w:szCs w:val="28"/>
        </w:rPr>
        <w:t>. 2013. № 4. С. 182 – 186.</w:t>
      </w:r>
    </w:p>
    <w:p w14:paraId="386536E1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Солдаткіна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Д.О.,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Швагер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О.А. Загальна характеристика суб’єктів безготівкових розрахунків.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Правові горизонти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2018.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13 (26). С. 37 – 43.</w:t>
      </w:r>
    </w:p>
    <w:p w14:paraId="1DF7356D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Харакоз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Л.В., Калюжна А.В. Вітчизняний і міжнародний досвід обліку розрахунків з покупцями та замовниками.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Матеріали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V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Міжнародної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науково-практичної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конференції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. У 2 томах. м.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Дніпро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: ДНУ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ім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>. О. Гончара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Pr="0029057A">
        <w:rPr>
          <w:rStyle w:val="fontstyle01"/>
          <w:rFonts w:ascii="Times New Roman" w:hAnsi="Times New Roman"/>
          <w:sz w:val="28"/>
          <w:szCs w:val="28"/>
        </w:rPr>
        <w:t>2017. С. 36 – 42.</w:t>
      </w:r>
    </w:p>
    <w:p w14:paraId="2FC9485A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bCs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</w:rPr>
        <w:t>2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4</w:t>
      </w:r>
      <w:r w:rsidRPr="0029057A">
        <w:rPr>
          <w:rStyle w:val="fontstyle01"/>
          <w:rFonts w:ascii="Times New Roman" w:hAnsi="Times New Roman"/>
          <w:sz w:val="28"/>
          <w:szCs w:val="28"/>
        </w:rPr>
        <w:t xml:space="preserve">. 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Циганов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С.А. Апалькова В.В.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Розвиток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електронних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платіжних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систем в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Україні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міжнародний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аспект та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інституціональні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засади. </w:t>
      </w:r>
      <w:r w:rsidRPr="0029057A">
        <w:rPr>
          <w:rStyle w:val="fontstyle01"/>
          <w:rFonts w:ascii="Times New Roman" w:hAnsi="Times New Roman"/>
          <w:bCs/>
          <w:i/>
          <w:sz w:val="28"/>
          <w:szCs w:val="28"/>
          <w:lang w:val="uk-UA"/>
        </w:rPr>
        <w:t>Фінансовий простір</w:t>
      </w:r>
      <w:r w:rsidRPr="0029057A">
        <w:rPr>
          <w:rStyle w:val="fontstyle01"/>
          <w:rFonts w:ascii="Times New Roman" w:hAnsi="Times New Roman"/>
          <w:bCs/>
          <w:sz w:val="28"/>
          <w:szCs w:val="28"/>
        </w:rPr>
        <w:t>. 2015. № 3 (19). С. 81 – 89.</w:t>
      </w:r>
    </w:p>
    <w:p w14:paraId="57E96F8C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25.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Цихурський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В.Л. Економічний зміст безготівкових розрахунків. 2017. С. 1 – 2. </w:t>
      </w:r>
      <w:hyperlink r:id="rId12" w:history="1">
        <w:r w:rsidRPr="0029057A">
          <w:rPr>
            <w:rStyle w:val="a9"/>
            <w:rFonts w:ascii="Times New Roman" w:hAnsi="Times New Roman"/>
            <w:sz w:val="28"/>
            <w:szCs w:val="28"/>
            <w:lang w:val="uk-UA"/>
          </w:rPr>
          <w:t>https://conf.ztu.edu.ua/wp-content/uploads/2017/06/66.pdf</w:t>
        </w:r>
      </w:hyperlink>
    </w:p>
    <w:p w14:paraId="3169394F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26</w:t>
      </w:r>
      <w:r w:rsidRPr="0029057A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Чайковський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Я.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Сучасний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готівкового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обігу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Україні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та система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заходів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поліпшення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роботи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готівкою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системі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Національного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України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Економічний</w:t>
      </w:r>
      <w:proofErr w:type="spellEnd"/>
      <w:r w:rsidRPr="0029057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057A">
        <w:rPr>
          <w:rStyle w:val="fontstyle01"/>
          <w:rFonts w:ascii="Times New Roman" w:hAnsi="Times New Roman"/>
          <w:i/>
          <w:sz w:val="28"/>
          <w:szCs w:val="28"/>
        </w:rPr>
        <w:t>аналіз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. 2012.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Випуск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11.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</w:rPr>
        <w:t>Частина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</w:rPr>
        <w:t xml:space="preserve"> 1. С. 428 – 433.</w:t>
      </w:r>
    </w:p>
    <w:p w14:paraId="2CC8514F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27.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Швагер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О.А.,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Солдаткіна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Д.О. Актуальні питання правового регулювання безготівкових розрахунків в Україні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>. Журнал східноєвропейського права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. 2018. № 57. С. 1 – 15.</w:t>
      </w:r>
    </w:p>
    <w:p w14:paraId="1BE413BA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Югас</w:t>
      </w:r>
      <w:proofErr w:type="spellEnd"/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Е.Ф., Попович М.С. Контроль і ревізія безготівкових розрахунків підприємств. </w:t>
      </w:r>
      <w:r w:rsidRPr="0029057A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Науковий вісник Ужгородського університету. Серія Економіка. </w:t>
      </w:r>
      <w:r w:rsidRPr="0029057A">
        <w:rPr>
          <w:rStyle w:val="fontstyle01"/>
          <w:rFonts w:ascii="Times New Roman" w:hAnsi="Times New Roman"/>
          <w:sz w:val="28"/>
          <w:szCs w:val="28"/>
          <w:lang w:val="uk-UA"/>
        </w:rPr>
        <w:t>2014. Випуск 1 (42). С. 212 – 217.</w:t>
      </w:r>
    </w:p>
    <w:p w14:paraId="17D579C0" w14:textId="77777777" w:rsidR="006548F9" w:rsidRPr="0029057A" w:rsidRDefault="006548F9" w:rsidP="0029057A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</w:p>
    <w:sectPr w:rsidR="006548F9" w:rsidRPr="0029057A" w:rsidSect="004E02E6">
      <w:headerReference w:type="default" r:id="rId13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E4DC" w14:textId="77777777" w:rsidR="00AD3AF9" w:rsidRDefault="00AD3AF9" w:rsidP="004E02E6">
      <w:pPr>
        <w:spacing w:after="0" w:line="240" w:lineRule="auto"/>
      </w:pPr>
      <w:r>
        <w:separator/>
      </w:r>
    </w:p>
  </w:endnote>
  <w:endnote w:type="continuationSeparator" w:id="0">
    <w:p w14:paraId="521B8A83" w14:textId="77777777" w:rsidR="00AD3AF9" w:rsidRDefault="00AD3AF9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27A2" w14:textId="77777777" w:rsidR="00AD3AF9" w:rsidRDefault="00AD3AF9" w:rsidP="004E02E6">
      <w:pPr>
        <w:spacing w:after="0" w:line="240" w:lineRule="auto"/>
      </w:pPr>
      <w:r>
        <w:separator/>
      </w:r>
    </w:p>
  </w:footnote>
  <w:footnote w:type="continuationSeparator" w:id="0">
    <w:p w14:paraId="606DE5A8" w14:textId="77777777" w:rsidR="00AD3AF9" w:rsidRDefault="00AD3AF9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C00B" w14:textId="77777777" w:rsidR="006548F9" w:rsidRDefault="00AD3AF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48F9">
      <w:rPr>
        <w:noProof/>
      </w:rPr>
      <w:t>37</w:t>
    </w:r>
    <w:r>
      <w:rPr>
        <w:noProof/>
      </w:rPr>
      <w:fldChar w:fldCharType="end"/>
    </w:r>
  </w:p>
  <w:p w14:paraId="1B385C63" w14:textId="77777777" w:rsidR="006548F9" w:rsidRDefault="0065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A7444E"/>
    <w:multiLevelType w:val="multilevel"/>
    <w:tmpl w:val="4B6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13C61"/>
    <w:multiLevelType w:val="hybridMultilevel"/>
    <w:tmpl w:val="40A8F5B6"/>
    <w:lvl w:ilvl="0" w:tplc="DD3A74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E2378EE"/>
    <w:multiLevelType w:val="hybridMultilevel"/>
    <w:tmpl w:val="132CBE5A"/>
    <w:lvl w:ilvl="0" w:tplc="8956308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E930EF"/>
    <w:multiLevelType w:val="multilevel"/>
    <w:tmpl w:val="D88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11F33"/>
    <w:multiLevelType w:val="hybridMultilevel"/>
    <w:tmpl w:val="B704A0EE"/>
    <w:lvl w:ilvl="0" w:tplc="2070BC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496598E"/>
    <w:multiLevelType w:val="multilevel"/>
    <w:tmpl w:val="E91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B73E5"/>
    <w:multiLevelType w:val="hybridMultilevel"/>
    <w:tmpl w:val="B1941566"/>
    <w:lvl w:ilvl="0" w:tplc="EE1AE4C4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7FC3834"/>
    <w:multiLevelType w:val="multilevel"/>
    <w:tmpl w:val="A50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41E7A"/>
    <w:multiLevelType w:val="multilevel"/>
    <w:tmpl w:val="B8D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86A58"/>
    <w:multiLevelType w:val="multilevel"/>
    <w:tmpl w:val="139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E69E3"/>
    <w:multiLevelType w:val="multilevel"/>
    <w:tmpl w:val="D0363FA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5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15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3687" w:hanging="15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5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5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35CA3F48"/>
    <w:multiLevelType w:val="hybridMultilevel"/>
    <w:tmpl w:val="037AE1FA"/>
    <w:lvl w:ilvl="0" w:tplc="C52CDA1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68F3EA2"/>
    <w:multiLevelType w:val="multilevel"/>
    <w:tmpl w:val="029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F01C6"/>
    <w:multiLevelType w:val="multilevel"/>
    <w:tmpl w:val="CA2EE18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B08511E"/>
    <w:multiLevelType w:val="multilevel"/>
    <w:tmpl w:val="422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4A36A81"/>
    <w:multiLevelType w:val="hybridMultilevel"/>
    <w:tmpl w:val="A0C426CE"/>
    <w:lvl w:ilvl="0" w:tplc="6F464F24">
      <w:start w:val="3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95F7530"/>
    <w:multiLevelType w:val="multilevel"/>
    <w:tmpl w:val="1D7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232F7"/>
    <w:multiLevelType w:val="multilevel"/>
    <w:tmpl w:val="FAF4FD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 w15:restartNumberingAfterBreak="0">
    <w:nsid w:val="527C27A5"/>
    <w:multiLevelType w:val="multilevel"/>
    <w:tmpl w:val="3C10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A76349"/>
    <w:multiLevelType w:val="multilevel"/>
    <w:tmpl w:val="E7E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836C7"/>
    <w:multiLevelType w:val="hybridMultilevel"/>
    <w:tmpl w:val="A1663FEE"/>
    <w:lvl w:ilvl="0" w:tplc="A35A331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65A665C5"/>
    <w:multiLevelType w:val="multilevel"/>
    <w:tmpl w:val="EE6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 w15:restartNumberingAfterBreak="0">
    <w:nsid w:val="6F31738F"/>
    <w:multiLevelType w:val="multilevel"/>
    <w:tmpl w:val="F2AC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721D0"/>
    <w:multiLevelType w:val="hybridMultilevel"/>
    <w:tmpl w:val="B2B8AFB4"/>
    <w:lvl w:ilvl="0" w:tplc="E8407A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1F242B"/>
    <w:multiLevelType w:val="hybridMultilevel"/>
    <w:tmpl w:val="E9DC5570"/>
    <w:lvl w:ilvl="0" w:tplc="83F85F6A">
      <w:start w:val="4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080414E"/>
    <w:multiLevelType w:val="multilevel"/>
    <w:tmpl w:val="10C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F1D4885"/>
    <w:multiLevelType w:val="hybridMultilevel"/>
    <w:tmpl w:val="E21A890C"/>
    <w:lvl w:ilvl="0" w:tplc="4E707FCA">
      <w:start w:val="10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0"/>
  </w:num>
  <w:num w:numId="5">
    <w:abstractNumId w:val="4"/>
  </w:num>
  <w:num w:numId="6">
    <w:abstractNumId w:val="18"/>
  </w:num>
  <w:num w:numId="7">
    <w:abstractNumId w:val="35"/>
  </w:num>
  <w:num w:numId="8">
    <w:abstractNumId w:val="24"/>
  </w:num>
  <w:num w:numId="9">
    <w:abstractNumId w:val="17"/>
  </w:num>
  <w:num w:numId="10">
    <w:abstractNumId w:val="25"/>
  </w:num>
  <w:num w:numId="11">
    <w:abstractNumId w:val="2"/>
  </w:num>
  <w:num w:numId="12">
    <w:abstractNumId w:val="12"/>
  </w:num>
  <w:num w:numId="13">
    <w:abstractNumId w:val="36"/>
  </w:num>
  <w:num w:numId="14">
    <w:abstractNumId w:val="19"/>
  </w:num>
  <w:num w:numId="15">
    <w:abstractNumId w:val="33"/>
  </w:num>
  <w:num w:numId="16">
    <w:abstractNumId w:val="15"/>
  </w:num>
  <w:num w:numId="17">
    <w:abstractNumId w:val="22"/>
  </w:num>
  <w:num w:numId="18">
    <w:abstractNumId w:val="27"/>
  </w:num>
  <w:num w:numId="19">
    <w:abstractNumId w:val="7"/>
  </w:num>
  <w:num w:numId="20">
    <w:abstractNumId w:val="1"/>
  </w:num>
  <w:num w:numId="21">
    <w:abstractNumId w:val="32"/>
  </w:num>
  <w:num w:numId="22">
    <w:abstractNumId w:val="31"/>
  </w:num>
  <w:num w:numId="23">
    <w:abstractNumId w:val="14"/>
  </w:num>
  <w:num w:numId="24">
    <w:abstractNumId w:val="16"/>
  </w:num>
  <w:num w:numId="25">
    <w:abstractNumId w:val="5"/>
  </w:num>
  <w:num w:numId="26">
    <w:abstractNumId w:val="34"/>
  </w:num>
  <w:num w:numId="27">
    <w:abstractNumId w:val="23"/>
  </w:num>
  <w:num w:numId="28">
    <w:abstractNumId w:val="9"/>
  </w:num>
  <w:num w:numId="29">
    <w:abstractNumId w:val="11"/>
  </w:num>
  <w:num w:numId="30">
    <w:abstractNumId w:val="29"/>
  </w:num>
  <w:num w:numId="31">
    <w:abstractNumId w:val="10"/>
  </w:num>
  <w:num w:numId="32">
    <w:abstractNumId w:val="21"/>
  </w:num>
  <w:num w:numId="33">
    <w:abstractNumId w:val="26"/>
  </w:num>
  <w:num w:numId="34">
    <w:abstractNumId w:val="3"/>
  </w:num>
  <w:num w:numId="35">
    <w:abstractNumId w:val="6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1DD3"/>
    <w:rsid w:val="000034BB"/>
    <w:rsid w:val="00007763"/>
    <w:rsid w:val="00011416"/>
    <w:rsid w:val="000221AD"/>
    <w:rsid w:val="0002655F"/>
    <w:rsid w:val="000276D0"/>
    <w:rsid w:val="000337C9"/>
    <w:rsid w:val="00045E35"/>
    <w:rsid w:val="00066C04"/>
    <w:rsid w:val="00070BCE"/>
    <w:rsid w:val="000717AA"/>
    <w:rsid w:val="00074ACD"/>
    <w:rsid w:val="000857D8"/>
    <w:rsid w:val="000966A3"/>
    <w:rsid w:val="000A0432"/>
    <w:rsid w:val="000A1F34"/>
    <w:rsid w:val="000B33FD"/>
    <w:rsid w:val="000B42DB"/>
    <w:rsid w:val="000B4489"/>
    <w:rsid w:val="000B6B01"/>
    <w:rsid w:val="000B76A6"/>
    <w:rsid w:val="000C0CD3"/>
    <w:rsid w:val="000C3F07"/>
    <w:rsid w:val="000D0BF4"/>
    <w:rsid w:val="000D375F"/>
    <w:rsid w:val="000D58CE"/>
    <w:rsid w:val="000F2AC2"/>
    <w:rsid w:val="000F79FD"/>
    <w:rsid w:val="00100CAA"/>
    <w:rsid w:val="00105947"/>
    <w:rsid w:val="00106690"/>
    <w:rsid w:val="00120DFE"/>
    <w:rsid w:val="00121B5A"/>
    <w:rsid w:val="00125133"/>
    <w:rsid w:val="00131CB3"/>
    <w:rsid w:val="00135CAA"/>
    <w:rsid w:val="00140BAB"/>
    <w:rsid w:val="00147726"/>
    <w:rsid w:val="001527FE"/>
    <w:rsid w:val="001566D7"/>
    <w:rsid w:val="00166623"/>
    <w:rsid w:val="001731E0"/>
    <w:rsid w:val="001743C7"/>
    <w:rsid w:val="00174A7B"/>
    <w:rsid w:val="00176308"/>
    <w:rsid w:val="00183330"/>
    <w:rsid w:val="001866B8"/>
    <w:rsid w:val="00191EB0"/>
    <w:rsid w:val="00192176"/>
    <w:rsid w:val="00196BF4"/>
    <w:rsid w:val="001A4BBA"/>
    <w:rsid w:val="001A559D"/>
    <w:rsid w:val="001C7FD6"/>
    <w:rsid w:val="001D0353"/>
    <w:rsid w:val="001E5D1F"/>
    <w:rsid w:val="001E5F52"/>
    <w:rsid w:val="001E7FF7"/>
    <w:rsid w:val="001F6242"/>
    <w:rsid w:val="001F7A4C"/>
    <w:rsid w:val="00212E98"/>
    <w:rsid w:val="002229B1"/>
    <w:rsid w:val="002301D7"/>
    <w:rsid w:val="002345AC"/>
    <w:rsid w:val="00235CE8"/>
    <w:rsid w:val="00240828"/>
    <w:rsid w:val="00255678"/>
    <w:rsid w:val="002623BB"/>
    <w:rsid w:val="002655A4"/>
    <w:rsid w:val="002800B3"/>
    <w:rsid w:val="00286712"/>
    <w:rsid w:val="002873FA"/>
    <w:rsid w:val="0029057A"/>
    <w:rsid w:val="0029134A"/>
    <w:rsid w:val="00291E91"/>
    <w:rsid w:val="002934DF"/>
    <w:rsid w:val="00295966"/>
    <w:rsid w:val="0029610A"/>
    <w:rsid w:val="002A01A7"/>
    <w:rsid w:val="002A515D"/>
    <w:rsid w:val="002A5B36"/>
    <w:rsid w:val="002A63F5"/>
    <w:rsid w:val="002B0923"/>
    <w:rsid w:val="002B1521"/>
    <w:rsid w:val="002C7808"/>
    <w:rsid w:val="002D3B74"/>
    <w:rsid w:val="002D6CE8"/>
    <w:rsid w:val="002E1656"/>
    <w:rsid w:val="002E702D"/>
    <w:rsid w:val="002F37F8"/>
    <w:rsid w:val="00300DBE"/>
    <w:rsid w:val="00302AB8"/>
    <w:rsid w:val="003030F5"/>
    <w:rsid w:val="00304054"/>
    <w:rsid w:val="00312E73"/>
    <w:rsid w:val="003132E8"/>
    <w:rsid w:val="00314C40"/>
    <w:rsid w:val="003257F5"/>
    <w:rsid w:val="0032691A"/>
    <w:rsid w:val="00333B29"/>
    <w:rsid w:val="003363B9"/>
    <w:rsid w:val="0034103B"/>
    <w:rsid w:val="003446F4"/>
    <w:rsid w:val="00350108"/>
    <w:rsid w:val="0035026F"/>
    <w:rsid w:val="003610D8"/>
    <w:rsid w:val="003611EF"/>
    <w:rsid w:val="00361EA7"/>
    <w:rsid w:val="00364212"/>
    <w:rsid w:val="0038093E"/>
    <w:rsid w:val="003819A9"/>
    <w:rsid w:val="00383A3C"/>
    <w:rsid w:val="00387B79"/>
    <w:rsid w:val="00393146"/>
    <w:rsid w:val="003B4C37"/>
    <w:rsid w:val="003B4CCF"/>
    <w:rsid w:val="003B4E13"/>
    <w:rsid w:val="003B7F43"/>
    <w:rsid w:val="003C3325"/>
    <w:rsid w:val="003C3574"/>
    <w:rsid w:val="003C6012"/>
    <w:rsid w:val="00412A51"/>
    <w:rsid w:val="004133FA"/>
    <w:rsid w:val="00426E43"/>
    <w:rsid w:val="00427421"/>
    <w:rsid w:val="00432926"/>
    <w:rsid w:val="004333AE"/>
    <w:rsid w:val="00434788"/>
    <w:rsid w:val="004519EC"/>
    <w:rsid w:val="0045274E"/>
    <w:rsid w:val="00465709"/>
    <w:rsid w:val="00470FBA"/>
    <w:rsid w:val="00474CCA"/>
    <w:rsid w:val="004757FB"/>
    <w:rsid w:val="00477FEA"/>
    <w:rsid w:val="0048230A"/>
    <w:rsid w:val="00486D1A"/>
    <w:rsid w:val="00493391"/>
    <w:rsid w:val="00494B29"/>
    <w:rsid w:val="004B0A58"/>
    <w:rsid w:val="004B1E31"/>
    <w:rsid w:val="004B4C9F"/>
    <w:rsid w:val="004B4D91"/>
    <w:rsid w:val="004B7F04"/>
    <w:rsid w:val="004C4021"/>
    <w:rsid w:val="004C449D"/>
    <w:rsid w:val="004D44F7"/>
    <w:rsid w:val="004D4571"/>
    <w:rsid w:val="004D5C85"/>
    <w:rsid w:val="004E02E6"/>
    <w:rsid w:val="004E2033"/>
    <w:rsid w:val="004F2DB5"/>
    <w:rsid w:val="004F38B0"/>
    <w:rsid w:val="004F4DF0"/>
    <w:rsid w:val="005022AD"/>
    <w:rsid w:val="00511046"/>
    <w:rsid w:val="00515E13"/>
    <w:rsid w:val="005238E1"/>
    <w:rsid w:val="00525466"/>
    <w:rsid w:val="005322B7"/>
    <w:rsid w:val="00533E61"/>
    <w:rsid w:val="00536972"/>
    <w:rsid w:val="005376C3"/>
    <w:rsid w:val="00540190"/>
    <w:rsid w:val="005404BA"/>
    <w:rsid w:val="005445D7"/>
    <w:rsid w:val="005452DF"/>
    <w:rsid w:val="005516E3"/>
    <w:rsid w:val="00551F6D"/>
    <w:rsid w:val="005550BC"/>
    <w:rsid w:val="00571B85"/>
    <w:rsid w:val="005765DE"/>
    <w:rsid w:val="00577839"/>
    <w:rsid w:val="005A34F2"/>
    <w:rsid w:val="005A39B0"/>
    <w:rsid w:val="005A3CB9"/>
    <w:rsid w:val="005A6C16"/>
    <w:rsid w:val="005C05EA"/>
    <w:rsid w:val="005C43E0"/>
    <w:rsid w:val="005C5B12"/>
    <w:rsid w:val="005C62E8"/>
    <w:rsid w:val="005C7B85"/>
    <w:rsid w:val="005F2151"/>
    <w:rsid w:val="005F256A"/>
    <w:rsid w:val="005F36A5"/>
    <w:rsid w:val="005F632E"/>
    <w:rsid w:val="0060069B"/>
    <w:rsid w:val="00604772"/>
    <w:rsid w:val="006152C5"/>
    <w:rsid w:val="006169A2"/>
    <w:rsid w:val="00617AA5"/>
    <w:rsid w:val="00620CFA"/>
    <w:rsid w:val="00630ED9"/>
    <w:rsid w:val="00636924"/>
    <w:rsid w:val="00637BB1"/>
    <w:rsid w:val="006538FD"/>
    <w:rsid w:val="00654009"/>
    <w:rsid w:val="006548F9"/>
    <w:rsid w:val="00657287"/>
    <w:rsid w:val="00657361"/>
    <w:rsid w:val="0066473E"/>
    <w:rsid w:val="00664E7F"/>
    <w:rsid w:val="00667772"/>
    <w:rsid w:val="00670D80"/>
    <w:rsid w:val="00671F04"/>
    <w:rsid w:val="006720A1"/>
    <w:rsid w:val="006727EC"/>
    <w:rsid w:val="006738D6"/>
    <w:rsid w:val="00674CB4"/>
    <w:rsid w:val="00676B6E"/>
    <w:rsid w:val="00677631"/>
    <w:rsid w:val="00681051"/>
    <w:rsid w:val="00690600"/>
    <w:rsid w:val="006913A7"/>
    <w:rsid w:val="006A31A9"/>
    <w:rsid w:val="006B172B"/>
    <w:rsid w:val="006B6025"/>
    <w:rsid w:val="006D1612"/>
    <w:rsid w:val="006D2F45"/>
    <w:rsid w:val="006D40CE"/>
    <w:rsid w:val="006E249F"/>
    <w:rsid w:val="006E604F"/>
    <w:rsid w:val="006E6339"/>
    <w:rsid w:val="006F24B9"/>
    <w:rsid w:val="006F3949"/>
    <w:rsid w:val="006F5546"/>
    <w:rsid w:val="006F60FD"/>
    <w:rsid w:val="007037BB"/>
    <w:rsid w:val="00705698"/>
    <w:rsid w:val="0070740A"/>
    <w:rsid w:val="007178BA"/>
    <w:rsid w:val="00725886"/>
    <w:rsid w:val="00731217"/>
    <w:rsid w:val="00736C30"/>
    <w:rsid w:val="007423CC"/>
    <w:rsid w:val="00743156"/>
    <w:rsid w:val="00747BA7"/>
    <w:rsid w:val="00753207"/>
    <w:rsid w:val="00756E1B"/>
    <w:rsid w:val="00760760"/>
    <w:rsid w:val="0077432D"/>
    <w:rsid w:val="00791023"/>
    <w:rsid w:val="00793221"/>
    <w:rsid w:val="007A047A"/>
    <w:rsid w:val="007A0824"/>
    <w:rsid w:val="007A50B6"/>
    <w:rsid w:val="007B5A90"/>
    <w:rsid w:val="007C0F2C"/>
    <w:rsid w:val="007C0FA5"/>
    <w:rsid w:val="007C1781"/>
    <w:rsid w:val="007C1C55"/>
    <w:rsid w:val="007D08E6"/>
    <w:rsid w:val="007D5FDE"/>
    <w:rsid w:val="007E52AE"/>
    <w:rsid w:val="007E65C8"/>
    <w:rsid w:val="007F103C"/>
    <w:rsid w:val="00802FE1"/>
    <w:rsid w:val="00803C5D"/>
    <w:rsid w:val="008306F1"/>
    <w:rsid w:val="00832AC8"/>
    <w:rsid w:val="00833180"/>
    <w:rsid w:val="00844B7C"/>
    <w:rsid w:val="00847BDF"/>
    <w:rsid w:val="0085157D"/>
    <w:rsid w:val="00857CDC"/>
    <w:rsid w:val="0087011A"/>
    <w:rsid w:val="00870C9F"/>
    <w:rsid w:val="008805CD"/>
    <w:rsid w:val="00896820"/>
    <w:rsid w:val="008A1B55"/>
    <w:rsid w:val="008A7D57"/>
    <w:rsid w:val="008D1527"/>
    <w:rsid w:val="008D2225"/>
    <w:rsid w:val="008D5825"/>
    <w:rsid w:val="008F0113"/>
    <w:rsid w:val="008F76D8"/>
    <w:rsid w:val="0090365C"/>
    <w:rsid w:val="009047DA"/>
    <w:rsid w:val="00907654"/>
    <w:rsid w:val="0090768D"/>
    <w:rsid w:val="00907DA5"/>
    <w:rsid w:val="0091246A"/>
    <w:rsid w:val="00917843"/>
    <w:rsid w:val="00924CD8"/>
    <w:rsid w:val="0092670B"/>
    <w:rsid w:val="009343D6"/>
    <w:rsid w:val="00936371"/>
    <w:rsid w:val="00937F97"/>
    <w:rsid w:val="00942661"/>
    <w:rsid w:val="009513F7"/>
    <w:rsid w:val="00955820"/>
    <w:rsid w:val="009559F8"/>
    <w:rsid w:val="009607B9"/>
    <w:rsid w:val="009619DF"/>
    <w:rsid w:val="00965CA5"/>
    <w:rsid w:val="00973002"/>
    <w:rsid w:val="00976632"/>
    <w:rsid w:val="00976BEE"/>
    <w:rsid w:val="009939A2"/>
    <w:rsid w:val="009A0C21"/>
    <w:rsid w:val="009A10F5"/>
    <w:rsid w:val="009A14FF"/>
    <w:rsid w:val="009B58AF"/>
    <w:rsid w:val="009C0A68"/>
    <w:rsid w:val="009C201F"/>
    <w:rsid w:val="009D03DC"/>
    <w:rsid w:val="009D6604"/>
    <w:rsid w:val="009D69CB"/>
    <w:rsid w:val="009F1DB2"/>
    <w:rsid w:val="00A01C73"/>
    <w:rsid w:val="00A0227A"/>
    <w:rsid w:val="00A07B1C"/>
    <w:rsid w:val="00A12159"/>
    <w:rsid w:val="00A13C9A"/>
    <w:rsid w:val="00A15574"/>
    <w:rsid w:val="00A17658"/>
    <w:rsid w:val="00A3028D"/>
    <w:rsid w:val="00A3643E"/>
    <w:rsid w:val="00A37332"/>
    <w:rsid w:val="00A4173A"/>
    <w:rsid w:val="00A47EA4"/>
    <w:rsid w:val="00A5158D"/>
    <w:rsid w:val="00A54AEA"/>
    <w:rsid w:val="00A5738C"/>
    <w:rsid w:val="00A6524B"/>
    <w:rsid w:val="00A75D35"/>
    <w:rsid w:val="00A80D2A"/>
    <w:rsid w:val="00A94AF6"/>
    <w:rsid w:val="00AB2C47"/>
    <w:rsid w:val="00AB3DF7"/>
    <w:rsid w:val="00AB6173"/>
    <w:rsid w:val="00AB7258"/>
    <w:rsid w:val="00AC3F70"/>
    <w:rsid w:val="00AD3AF9"/>
    <w:rsid w:val="00AD7F92"/>
    <w:rsid w:val="00AE0E87"/>
    <w:rsid w:val="00AF149F"/>
    <w:rsid w:val="00AF4925"/>
    <w:rsid w:val="00B00AD6"/>
    <w:rsid w:val="00B06D42"/>
    <w:rsid w:val="00B14623"/>
    <w:rsid w:val="00B14E9B"/>
    <w:rsid w:val="00B20FC6"/>
    <w:rsid w:val="00B23212"/>
    <w:rsid w:val="00B259B5"/>
    <w:rsid w:val="00B3289E"/>
    <w:rsid w:val="00B33B71"/>
    <w:rsid w:val="00B3604F"/>
    <w:rsid w:val="00B36B81"/>
    <w:rsid w:val="00B41640"/>
    <w:rsid w:val="00B4257E"/>
    <w:rsid w:val="00B45A20"/>
    <w:rsid w:val="00B53919"/>
    <w:rsid w:val="00B57F3E"/>
    <w:rsid w:val="00B66E7C"/>
    <w:rsid w:val="00B825C8"/>
    <w:rsid w:val="00B9104A"/>
    <w:rsid w:val="00B966F4"/>
    <w:rsid w:val="00BA470C"/>
    <w:rsid w:val="00BB751F"/>
    <w:rsid w:val="00BC10B9"/>
    <w:rsid w:val="00BC4B8F"/>
    <w:rsid w:val="00BC5C36"/>
    <w:rsid w:val="00BD3CD3"/>
    <w:rsid w:val="00BD53CB"/>
    <w:rsid w:val="00BD6F18"/>
    <w:rsid w:val="00BE454A"/>
    <w:rsid w:val="00BE5934"/>
    <w:rsid w:val="00BF6FC5"/>
    <w:rsid w:val="00BF7989"/>
    <w:rsid w:val="00C042C9"/>
    <w:rsid w:val="00C14102"/>
    <w:rsid w:val="00C23666"/>
    <w:rsid w:val="00C31479"/>
    <w:rsid w:val="00C346E4"/>
    <w:rsid w:val="00C35F0C"/>
    <w:rsid w:val="00C56253"/>
    <w:rsid w:val="00C6212F"/>
    <w:rsid w:val="00C773E8"/>
    <w:rsid w:val="00C77974"/>
    <w:rsid w:val="00C84E7F"/>
    <w:rsid w:val="00C9182F"/>
    <w:rsid w:val="00C95472"/>
    <w:rsid w:val="00CA153D"/>
    <w:rsid w:val="00CA4A85"/>
    <w:rsid w:val="00CA6326"/>
    <w:rsid w:val="00CB4BA8"/>
    <w:rsid w:val="00CB5156"/>
    <w:rsid w:val="00CB5D58"/>
    <w:rsid w:val="00CC6D5C"/>
    <w:rsid w:val="00CD6FF7"/>
    <w:rsid w:val="00CE1B0C"/>
    <w:rsid w:val="00CE5985"/>
    <w:rsid w:val="00CE59EA"/>
    <w:rsid w:val="00CF0925"/>
    <w:rsid w:val="00CF37C1"/>
    <w:rsid w:val="00CF69D3"/>
    <w:rsid w:val="00D059B0"/>
    <w:rsid w:val="00D07C08"/>
    <w:rsid w:val="00D10C57"/>
    <w:rsid w:val="00D110EB"/>
    <w:rsid w:val="00D23A51"/>
    <w:rsid w:val="00D25849"/>
    <w:rsid w:val="00D32A0A"/>
    <w:rsid w:val="00D3733E"/>
    <w:rsid w:val="00D50126"/>
    <w:rsid w:val="00D53821"/>
    <w:rsid w:val="00D56B19"/>
    <w:rsid w:val="00D57001"/>
    <w:rsid w:val="00D61CC3"/>
    <w:rsid w:val="00D800C2"/>
    <w:rsid w:val="00D85485"/>
    <w:rsid w:val="00D90854"/>
    <w:rsid w:val="00D9274E"/>
    <w:rsid w:val="00D92771"/>
    <w:rsid w:val="00D933E0"/>
    <w:rsid w:val="00DA7820"/>
    <w:rsid w:val="00DC0316"/>
    <w:rsid w:val="00DC07DF"/>
    <w:rsid w:val="00DC50DC"/>
    <w:rsid w:val="00DC71F5"/>
    <w:rsid w:val="00DD5B82"/>
    <w:rsid w:val="00DD6994"/>
    <w:rsid w:val="00DE7BA9"/>
    <w:rsid w:val="00DE7D42"/>
    <w:rsid w:val="00DF16F4"/>
    <w:rsid w:val="00DF7B2D"/>
    <w:rsid w:val="00E018FB"/>
    <w:rsid w:val="00E0284F"/>
    <w:rsid w:val="00E1382F"/>
    <w:rsid w:val="00E24E8A"/>
    <w:rsid w:val="00E252BE"/>
    <w:rsid w:val="00E34225"/>
    <w:rsid w:val="00E3474D"/>
    <w:rsid w:val="00E531DF"/>
    <w:rsid w:val="00E54D89"/>
    <w:rsid w:val="00E605D5"/>
    <w:rsid w:val="00E626A0"/>
    <w:rsid w:val="00E62A28"/>
    <w:rsid w:val="00E66BC9"/>
    <w:rsid w:val="00E82E06"/>
    <w:rsid w:val="00E974F3"/>
    <w:rsid w:val="00EA0F07"/>
    <w:rsid w:val="00EA189E"/>
    <w:rsid w:val="00EA2FA3"/>
    <w:rsid w:val="00EA3A26"/>
    <w:rsid w:val="00EC036C"/>
    <w:rsid w:val="00ED187E"/>
    <w:rsid w:val="00ED41FF"/>
    <w:rsid w:val="00EE1AD7"/>
    <w:rsid w:val="00EE3AFC"/>
    <w:rsid w:val="00EF1444"/>
    <w:rsid w:val="00F10F46"/>
    <w:rsid w:val="00F11A33"/>
    <w:rsid w:val="00F14BF8"/>
    <w:rsid w:val="00F32DAF"/>
    <w:rsid w:val="00F3394E"/>
    <w:rsid w:val="00F35640"/>
    <w:rsid w:val="00F43714"/>
    <w:rsid w:val="00F548F1"/>
    <w:rsid w:val="00F621CD"/>
    <w:rsid w:val="00F7241C"/>
    <w:rsid w:val="00F75A06"/>
    <w:rsid w:val="00F86495"/>
    <w:rsid w:val="00F90AD3"/>
    <w:rsid w:val="00F93BD3"/>
    <w:rsid w:val="00FA0AC4"/>
    <w:rsid w:val="00FA225A"/>
    <w:rsid w:val="00FA2FD4"/>
    <w:rsid w:val="00FA426F"/>
    <w:rsid w:val="00FB7D0E"/>
    <w:rsid w:val="00FC3B4F"/>
    <w:rsid w:val="00FC40E4"/>
    <w:rsid w:val="00FC5450"/>
    <w:rsid w:val="00FD322C"/>
    <w:rsid w:val="00FD6684"/>
    <w:rsid w:val="00FD6D9A"/>
    <w:rsid w:val="00FF11B5"/>
    <w:rsid w:val="00FF2194"/>
    <w:rsid w:val="00FF296F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00DFF"/>
  <w15:docId w15:val="{A0F5A354-0D35-4160-BD5B-3E70F0C7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74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37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3D6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1D0353"/>
    <w:pPr>
      <w:autoSpaceDE w:val="0"/>
      <w:autoSpaceDN w:val="0"/>
      <w:adjustRightInd w:val="0"/>
    </w:pPr>
    <w:rPr>
      <w:rFonts w:ascii="UkrainianJournal" w:hAnsi="UkrainianJournal" w:cs="UkrainianJournal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D0353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1D0353"/>
    <w:pPr>
      <w:spacing w:line="221" w:lineRule="atLeast"/>
    </w:pPr>
    <w:rPr>
      <w:rFonts w:ascii="Times New Roman" w:hAnsi="Times New Roman" w:cs="Times New Roman"/>
      <w:color w:val="auto"/>
    </w:rPr>
  </w:style>
  <w:style w:type="character" w:styleId="ac">
    <w:name w:val="Emphasis"/>
    <w:basedOn w:val="a0"/>
    <w:uiPriority w:val="99"/>
    <w:qFormat/>
    <w:locked/>
    <w:rsid w:val="002B0923"/>
    <w:rPr>
      <w:rFonts w:cs="Times New Roman"/>
      <w:i/>
      <w:iCs/>
    </w:rPr>
  </w:style>
  <w:style w:type="paragraph" w:customStyle="1" w:styleId="Pa24">
    <w:name w:val="Pa24"/>
    <w:basedOn w:val="Default"/>
    <w:next w:val="Default"/>
    <w:uiPriority w:val="99"/>
    <w:rsid w:val="00D3733E"/>
    <w:pPr>
      <w:spacing w:line="191" w:lineRule="atLeast"/>
    </w:pPr>
    <w:rPr>
      <w:rFonts w:ascii="Times New Roman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CA4A85"/>
    <w:pPr>
      <w:spacing w:line="20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E24E8A"/>
    <w:rPr>
      <w:color w:val="000000"/>
      <w:sz w:val="92"/>
    </w:rPr>
  </w:style>
  <w:style w:type="character" w:customStyle="1" w:styleId="dat">
    <w:name w:val="dat"/>
    <w:basedOn w:val="a0"/>
    <w:uiPriority w:val="99"/>
    <w:rsid w:val="00F43714"/>
    <w:rPr>
      <w:rFonts w:cs="Times New Roman"/>
    </w:rPr>
  </w:style>
  <w:style w:type="character" w:customStyle="1" w:styleId="badgebadge-pillbadge-danger">
    <w:name w:val="badge badge-pill badge-danger"/>
    <w:basedOn w:val="a0"/>
    <w:uiPriority w:val="99"/>
    <w:rsid w:val="00F43714"/>
    <w:rPr>
      <w:rFonts w:cs="Times New Roman"/>
    </w:rPr>
  </w:style>
  <w:style w:type="character" w:styleId="ad">
    <w:name w:val="Strong"/>
    <w:basedOn w:val="a0"/>
    <w:uiPriority w:val="99"/>
    <w:qFormat/>
    <w:locked/>
    <w:rsid w:val="00F43714"/>
    <w:rPr>
      <w:rFonts w:cs="Times New Roman"/>
      <w:b/>
      <w:bCs/>
    </w:rPr>
  </w:style>
  <w:style w:type="paragraph" w:customStyle="1" w:styleId="Pa101">
    <w:name w:val="Pa10+1"/>
    <w:basedOn w:val="Default"/>
    <w:next w:val="Default"/>
    <w:uiPriority w:val="99"/>
    <w:rsid w:val="007B5A90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0857D8"/>
    <w:pPr>
      <w:spacing w:line="201" w:lineRule="atLeast"/>
    </w:pPr>
    <w:rPr>
      <w:rFonts w:ascii="Warnock Pro" w:hAnsi="Warnock Pro" w:cs="Times New Roman"/>
      <w:color w:val="auto"/>
    </w:rPr>
  </w:style>
  <w:style w:type="character" w:customStyle="1" w:styleId="A10">
    <w:name w:val="A10"/>
    <w:uiPriority w:val="99"/>
    <w:rsid w:val="000857D8"/>
    <w:rPr>
      <w:color w:val="000000"/>
      <w:sz w:val="93"/>
    </w:rPr>
  </w:style>
  <w:style w:type="paragraph" w:customStyle="1" w:styleId="Pa28">
    <w:name w:val="Pa28"/>
    <w:basedOn w:val="Default"/>
    <w:next w:val="Default"/>
    <w:uiPriority w:val="99"/>
    <w:rsid w:val="000857D8"/>
    <w:pPr>
      <w:spacing w:line="201" w:lineRule="atLeast"/>
    </w:pPr>
    <w:rPr>
      <w:rFonts w:ascii="Warnock Pro" w:hAnsi="Warnock Pro" w:cs="Times New Roman"/>
      <w:color w:val="auto"/>
    </w:rPr>
  </w:style>
  <w:style w:type="character" w:customStyle="1" w:styleId="A17">
    <w:name w:val="A17"/>
    <w:uiPriority w:val="99"/>
    <w:rsid w:val="000857D8"/>
    <w:rPr>
      <w:color w:val="000000"/>
      <w:sz w:val="91"/>
    </w:rPr>
  </w:style>
  <w:style w:type="character" w:customStyle="1" w:styleId="A40">
    <w:name w:val="A4"/>
    <w:uiPriority w:val="99"/>
    <w:rsid w:val="003B4E13"/>
    <w:rPr>
      <w:color w:val="000000"/>
      <w:sz w:val="22"/>
    </w:rPr>
  </w:style>
  <w:style w:type="paragraph" w:customStyle="1" w:styleId="Pa5">
    <w:name w:val="Pa5"/>
    <w:basedOn w:val="Default"/>
    <w:next w:val="Default"/>
    <w:uiPriority w:val="99"/>
    <w:rsid w:val="003B4E13"/>
    <w:pPr>
      <w:spacing w:line="241" w:lineRule="atLeast"/>
    </w:pPr>
    <w:rPr>
      <w:rFonts w:ascii="Minion Pro" w:hAnsi="Minion Pro" w:cs="Times New Roman"/>
      <w:color w:val="auto"/>
    </w:rPr>
  </w:style>
  <w:style w:type="character" w:customStyle="1" w:styleId="A11">
    <w:name w:val="A1"/>
    <w:uiPriority w:val="99"/>
    <w:rsid w:val="004D4571"/>
    <w:rPr>
      <w:b/>
      <w:color w:val="000000"/>
      <w:sz w:val="16"/>
    </w:rPr>
  </w:style>
  <w:style w:type="paragraph" w:customStyle="1" w:styleId="Pa3">
    <w:name w:val="Pa3"/>
    <w:basedOn w:val="Default"/>
    <w:next w:val="Default"/>
    <w:uiPriority w:val="99"/>
    <w:rsid w:val="004D4571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rvts46">
    <w:name w:val="rvts46"/>
    <w:basedOn w:val="a0"/>
    <w:uiPriority w:val="99"/>
    <w:rsid w:val="00174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main/b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73-19" TargetMode="External"/><Relationship Id="rId12" Type="http://schemas.openxmlformats.org/officeDocument/2006/relationships/hyperlink" Target="https://conf.ztu.edu.ua/wp-content/uploads/2017/06/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main/b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main/b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main/b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Ruslan</dc:creator>
  <cp:keywords/>
  <dc:description/>
  <cp:lastModifiedBy>Оксана Смолярчук</cp:lastModifiedBy>
  <cp:revision>3</cp:revision>
  <dcterms:created xsi:type="dcterms:W3CDTF">2019-07-18T03:43:00Z</dcterms:created>
  <dcterms:modified xsi:type="dcterms:W3CDTF">2019-07-18T09:08:00Z</dcterms:modified>
</cp:coreProperties>
</file>