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35F9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6DC96CF2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4D44F7">
        <w:rPr>
          <w:rFonts w:ascii="Times New Roman" w:hAnsi="Times New Roman"/>
          <w:sz w:val="28"/>
          <w:szCs w:val="28"/>
          <w:lang w:val="uk-UA"/>
        </w:rPr>
        <w:t>..……………………………………………………………………….</w:t>
      </w:r>
      <w:r w:rsidRPr="004D44F7"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63656870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1. ЗАГАЛЬНІ ПОЛОЖЕННЯ ПРО ПРИПИНЕННЯ ДІЯЛЬНОСТІ СУБ’ЄКТІВ ГОСПОДАРЮВАННЯ………………………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...</w:t>
      </w: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…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14:paraId="44647983" w14:textId="77777777" w:rsidR="00747BA7" w:rsidRPr="004D44F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1.1. Поняття та сутність припинення діяльності суб’єктів господарювання……………………………………………………………………..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AB2C47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</w:p>
    <w:p w14:paraId="5D9674D9" w14:textId="77777777" w:rsidR="00747BA7" w:rsidRPr="004D44F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1.2. Підстави та способи припинення діяльності суб’єктів господарювання……………………………………………………………………..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AB2C47">
        <w:rPr>
          <w:rFonts w:ascii="Times New Roman" w:hAnsi="Times New Roman"/>
          <w:b/>
          <w:bCs/>
          <w:sz w:val="28"/>
          <w:szCs w:val="28"/>
          <w:lang w:val="uk-UA" w:eastAsia="ru-RU"/>
        </w:rPr>
        <w:t>9</w:t>
      </w:r>
    </w:p>
    <w:p w14:paraId="700D9600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2. ПРИПИНЕННЯ ГОСПОДАРСЬКОЇ ДІЯЛЬНОСТІ ЮРИДИЧНИХ ОСІБ………………………………….…………………………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.13</w:t>
      </w:r>
    </w:p>
    <w:p w14:paraId="544070CA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2.1. Порядок припинення юридичних осіб шляхом ліквідації…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..</w:t>
      </w: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………..</w:t>
      </w:r>
      <w:r w:rsidRPr="00AB2C47">
        <w:rPr>
          <w:rFonts w:ascii="Times New Roman" w:hAnsi="Times New Roman"/>
          <w:b/>
          <w:bCs/>
          <w:sz w:val="28"/>
          <w:szCs w:val="28"/>
          <w:lang w:val="uk-UA" w:eastAsia="ru-RU"/>
        </w:rPr>
        <w:t>13</w:t>
      </w:r>
    </w:p>
    <w:p w14:paraId="4733D9B6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2.2. Порядок припинення юридичних осіб шляхом реорганізації……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….</w:t>
      </w:r>
      <w:r w:rsidRPr="00AB2C47">
        <w:rPr>
          <w:rFonts w:ascii="Times New Roman" w:hAnsi="Times New Roman"/>
          <w:b/>
          <w:bCs/>
          <w:sz w:val="28"/>
          <w:szCs w:val="28"/>
          <w:lang w:val="uk-UA" w:eastAsia="ru-RU"/>
        </w:rPr>
        <w:t>20</w:t>
      </w:r>
    </w:p>
    <w:p w14:paraId="2B33FD46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2.3. Банкрутство юридичних осіб………………………………………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>….</w:t>
      </w:r>
      <w:r w:rsidRPr="00AB2C47">
        <w:rPr>
          <w:rFonts w:ascii="Times New Roman" w:hAnsi="Times New Roman"/>
          <w:b/>
          <w:bCs/>
          <w:sz w:val="28"/>
          <w:szCs w:val="28"/>
          <w:lang w:val="uk-UA" w:eastAsia="ru-RU"/>
        </w:rPr>
        <w:t>27</w:t>
      </w:r>
    </w:p>
    <w:p w14:paraId="04883E53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3. ПОРЯДОК ПРИПИНЕННЯ ДІЯЛЬНОСТІ ФІЗИЧНОЇ ОСОБИ – ПІДПРИЄМЦЯ………………………………………………………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..36</w:t>
      </w:r>
    </w:p>
    <w:p w14:paraId="79CBAC19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ВИСНОВКИ………………………………………………………….….…..</w:t>
      </w:r>
      <w:r>
        <w:rPr>
          <w:rFonts w:ascii="Times New Roman" w:hAnsi="Times New Roman"/>
          <w:b/>
          <w:sz w:val="28"/>
          <w:szCs w:val="28"/>
          <w:lang w:val="uk-UA"/>
        </w:rPr>
        <w:t>40</w:t>
      </w:r>
    </w:p>
    <w:p w14:paraId="159632E5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ДЖЕРЕЛ………………………………...</w:t>
      </w:r>
      <w:r>
        <w:rPr>
          <w:rFonts w:ascii="Times New Roman" w:hAnsi="Times New Roman"/>
          <w:b/>
          <w:sz w:val="28"/>
          <w:szCs w:val="28"/>
          <w:lang w:val="uk-UA"/>
        </w:rPr>
        <w:t>42</w:t>
      </w:r>
    </w:p>
    <w:p w14:paraId="3E2B3FC0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398A4F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7BBF34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632B2C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C056F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953FB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47AA28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57C8E6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C30FE0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4C291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90560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7FFF67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75EFDB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F6B72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3249A172" w14:textId="77777777" w:rsidR="00747BA7" w:rsidRPr="004D44F7" w:rsidRDefault="00747BA7" w:rsidP="001743C7">
      <w:pPr>
        <w:pStyle w:val="a7"/>
        <w:ind w:firstLine="709"/>
        <w:rPr>
          <w:b/>
          <w:lang w:val="uk-UA"/>
        </w:rPr>
      </w:pPr>
      <w:r w:rsidRPr="004D44F7">
        <w:rPr>
          <w:b/>
          <w:lang w:val="uk-UA"/>
        </w:rPr>
        <w:t xml:space="preserve">Актуальність теми. </w:t>
      </w:r>
    </w:p>
    <w:p w14:paraId="4DC3729F" w14:textId="0EB5C91D" w:rsidR="00747BA7" w:rsidRPr="006D1612" w:rsidRDefault="00747BA7" w:rsidP="00EE3A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даний час в Україні склалась нестабільна економічна ситуація, яка посилюється процесом поступової інтеграції України в </w:t>
      </w:r>
      <w:r w:rsidRPr="006D1612">
        <w:rPr>
          <w:rFonts w:ascii="Times New Roman" w:hAnsi="Times New Roman"/>
          <w:sz w:val="28"/>
          <w:szCs w:val="28"/>
          <w:lang w:val="uk-UA"/>
        </w:rPr>
        <w:t>європейське співтовариство</w:t>
      </w:r>
      <w:r>
        <w:rPr>
          <w:rFonts w:ascii="Times New Roman" w:hAnsi="Times New Roman"/>
          <w:sz w:val="28"/>
          <w:szCs w:val="28"/>
          <w:lang w:val="uk-UA"/>
        </w:rPr>
        <w:t xml:space="preserve">, яке має жорсткі умови знаходження виробників товарів на ринку, що в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</w:p>
    <w:p w14:paraId="5E11204A" w14:textId="0759A99F" w:rsidR="00747BA7" w:rsidRPr="004D44F7" w:rsidRDefault="00747BA7" w:rsidP="00E6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Питання правового регулювання припинення діяльності суб’єктами господарювання в Україні досліджувалось багатьма науковцями, серед яких: Абрамова А.С., Андрійчук В.,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Андрущак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 xml:space="preserve"> Є.М.,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Белих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 xml:space="preserve"> Л.П.,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Вінник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Гнатів О.М.,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Депамфилис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 xml:space="preserve"> Д.,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</w:p>
    <w:p w14:paraId="5210B19D" w14:textId="645151C2" w:rsidR="00747BA7" w:rsidRPr="004D44F7" w:rsidRDefault="00747BA7" w:rsidP="00D90854">
      <w:pPr>
        <w:pStyle w:val="a7"/>
        <w:ind w:firstLine="709"/>
        <w:rPr>
          <w:lang w:val="uk-UA"/>
        </w:rPr>
      </w:pPr>
      <w:r w:rsidRPr="004D44F7">
        <w:rPr>
          <w:b/>
          <w:lang w:val="uk-UA"/>
        </w:rPr>
        <w:t>Метою даної</w:t>
      </w:r>
      <w:r w:rsidRPr="004D44F7">
        <w:rPr>
          <w:lang w:val="uk-UA"/>
        </w:rPr>
        <w:t xml:space="preserve"> роботи є </w:t>
      </w:r>
      <w:r w:rsidR="003108FF">
        <w:rPr>
          <w:lang w:val="uk-UA"/>
        </w:rPr>
        <w:t>….</w:t>
      </w:r>
    </w:p>
    <w:p w14:paraId="657AC21A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завдань: </w:t>
      </w:r>
    </w:p>
    <w:p w14:paraId="7F148859" w14:textId="1842150A" w:rsidR="00747BA7" w:rsidRPr="004D44F7" w:rsidRDefault="003108F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51BFBDEF" w14:textId="20D553A3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</w:p>
    <w:p w14:paraId="43E6608D" w14:textId="0443518E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курсової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</w:p>
    <w:p w14:paraId="7812DC2F" w14:textId="7042E89B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курсової роботи є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</w:p>
    <w:p w14:paraId="0695E48C" w14:textId="77777777" w:rsidR="00747BA7" w:rsidRPr="004D44F7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трьох розділів, п’ятьох підрозділів, висновків та списку використаних літературних джерел.</w:t>
      </w:r>
    </w:p>
    <w:p w14:paraId="3F6D90DF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5B95D3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8F9F2F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DABE9F" w14:textId="77777777" w:rsidR="00747BA7" w:rsidRPr="004D44F7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CF86A6" w14:textId="77777777" w:rsidR="00747BA7" w:rsidRPr="004D44F7" w:rsidRDefault="00747BA7" w:rsidP="0094266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1</w:t>
      </w:r>
    </w:p>
    <w:p w14:paraId="4B6D3A36" w14:textId="77777777" w:rsidR="00747BA7" w:rsidRPr="004D44F7" w:rsidRDefault="00747BA7" w:rsidP="0094266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ЗАГАЛЬНІ ПОЛОЖЕННЯ ПРО ПРИПИНЕННЯ ДІЯЛЬНОСТІ СУБ’ЄКТІВ ГОСПОДАРЮВАННЯ</w:t>
      </w:r>
    </w:p>
    <w:p w14:paraId="385F1464" w14:textId="77777777" w:rsidR="00747BA7" w:rsidRDefault="00747BA7" w:rsidP="005550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5550BC">
        <w:rPr>
          <w:rFonts w:ascii="Times New Roman" w:hAnsi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 </w:t>
      </w: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Поняття та сутність припинення діяльності суб’єктів господарювання</w:t>
      </w:r>
    </w:p>
    <w:p w14:paraId="329E13F3" w14:textId="77777777" w:rsidR="00747BA7" w:rsidRPr="005550BC" w:rsidRDefault="00747BA7" w:rsidP="005550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550BC">
        <w:rPr>
          <w:rFonts w:ascii="Times New Roman" w:hAnsi="Times New Roman"/>
          <w:sz w:val="28"/>
          <w:szCs w:val="28"/>
          <w:lang w:val="uk-UA"/>
        </w:rPr>
        <w:t>Припинення суб’єкта підприємницької діяльності є таким же закономірним та органічним процесом, як і його створення. [21, с.69 – 70]</w:t>
      </w:r>
    </w:p>
    <w:p w14:paraId="75702006" w14:textId="77777777" w:rsidR="00747BA7" w:rsidRDefault="00747BA7" w:rsidP="00DC71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134A">
        <w:rPr>
          <w:rFonts w:ascii="Times New Roman" w:hAnsi="Times New Roman"/>
          <w:sz w:val="28"/>
          <w:szCs w:val="28"/>
          <w:lang w:val="uk-UA"/>
        </w:rPr>
        <w:lastRenderedPageBreak/>
        <w:t>Припинення су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б’єкта го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с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дарю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вання — одне з юридич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них 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нять го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с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дар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сь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ко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го права. Це специфіч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на право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ва ро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бо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та. До зміс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ту 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няття «припинення» вхо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дять юридич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ні підстави («умо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ви»), акти та про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цесу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аль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но-право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ві дії що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до припинення су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б’єкта го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с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дарю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вання як су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б’єкта права. Ці підстави, акти та дії передбачені го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с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по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дарським зако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>но</w:t>
      </w:r>
      <w:r w:rsidRPr="0029134A">
        <w:rPr>
          <w:rFonts w:ascii="Times New Roman" w:hAnsi="Times New Roman"/>
          <w:sz w:val="28"/>
          <w:szCs w:val="28"/>
          <w:lang w:val="uk-UA"/>
        </w:rPr>
        <w:softHyphen/>
        <w:t xml:space="preserve">давством. </w:t>
      </w:r>
      <w:r>
        <w:rPr>
          <w:rFonts w:ascii="Times New Roman" w:hAnsi="Times New Roman"/>
          <w:sz w:val="28"/>
          <w:szCs w:val="28"/>
          <w:lang w:val="uk-UA"/>
        </w:rPr>
        <w:t>[11, с.134]</w:t>
      </w:r>
    </w:p>
    <w:p w14:paraId="698982B5" w14:textId="77777777" w:rsidR="00747BA7" w:rsidRDefault="00747BA7" w:rsidP="00DC71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C71F5">
        <w:rPr>
          <w:rFonts w:ascii="Times New Roman" w:hAnsi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>суб’єктів підприємництва, як правило, не обмежується певним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>часом, вона є безстроковою.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>Припинення суб’єктів господарювання регулюється значною кількістю нормативно-правових актів, до яких насамперед належать Г</w:t>
      </w:r>
      <w:r>
        <w:rPr>
          <w:rFonts w:ascii="Times New Roman" w:hAnsi="Times New Roman"/>
          <w:sz w:val="28"/>
          <w:szCs w:val="28"/>
          <w:lang w:val="uk-UA"/>
        </w:rPr>
        <w:t>осподарський кодекс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DC71F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]</w:t>
      </w:r>
      <w:r w:rsidRPr="00DC71F5">
        <w:rPr>
          <w:rFonts w:ascii="Times New Roman" w:hAnsi="Times New Roman"/>
          <w:sz w:val="28"/>
          <w:szCs w:val="28"/>
          <w:lang w:val="uk-UA"/>
        </w:rPr>
        <w:t>, Ц</w:t>
      </w:r>
      <w:r>
        <w:rPr>
          <w:rFonts w:ascii="Times New Roman" w:hAnsi="Times New Roman"/>
          <w:sz w:val="28"/>
          <w:szCs w:val="28"/>
          <w:lang w:val="uk-UA"/>
        </w:rPr>
        <w:t>ивільний кодекс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DC71F5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]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C71F5">
        <w:rPr>
          <w:rFonts w:ascii="Times New Roman" w:hAnsi="Times New Roman"/>
          <w:sz w:val="28"/>
          <w:szCs w:val="28"/>
          <w:lang w:val="uk-UA"/>
        </w:rPr>
        <w:t>акон Україн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«Про державну реєстрацію юридичних осіб, фізичних осіб-підприємців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та громадських формувань»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DC71F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]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C71F5">
        <w:rPr>
          <w:rFonts w:ascii="Times New Roman" w:hAnsi="Times New Roman"/>
          <w:sz w:val="28"/>
          <w:szCs w:val="28"/>
          <w:lang w:val="uk-UA"/>
        </w:rPr>
        <w:t>акон Україн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«Про відновлення платоспроможності боржника або визнання його банкрутом» 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Pr="00DC71F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]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та інші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>нормативно-правові акти.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1F5">
        <w:rPr>
          <w:rFonts w:ascii="Times New Roman" w:hAnsi="Times New Roman"/>
          <w:sz w:val="28"/>
          <w:szCs w:val="28"/>
          <w:lang w:val="uk-UA"/>
        </w:rPr>
        <w:t>Поняття «припинення діяльності суб’єктів господарювання» немає у законодавстві України. Проте в доктринальному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Pr="00DC71F5">
        <w:rPr>
          <w:rFonts w:ascii="Times New Roman" w:hAnsi="Times New Roman"/>
          <w:sz w:val="28"/>
          <w:szCs w:val="28"/>
          <w:lang w:val="uk-UA"/>
        </w:rPr>
        <w:t>зумінні припиненням вважаються юридичні умови, за яких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DC71F5">
        <w:rPr>
          <w:rFonts w:ascii="Times New Roman" w:hAnsi="Times New Roman"/>
          <w:sz w:val="28"/>
          <w:szCs w:val="28"/>
          <w:lang w:val="uk-UA"/>
        </w:rPr>
        <w:t>уб’єкти господарювання втрачають право провадити господарську діяльність та, відповідно, втрачають підприємницьку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DC71F5">
        <w:rPr>
          <w:rFonts w:ascii="Times New Roman" w:hAnsi="Times New Roman"/>
          <w:sz w:val="28"/>
          <w:szCs w:val="28"/>
          <w:lang w:val="uk-UA"/>
        </w:rPr>
        <w:t>равосуб’єктність з моменту внесення відповідного запису до</w:t>
      </w:r>
      <w:r>
        <w:rPr>
          <w:rFonts w:ascii="Times New Roman" w:hAnsi="Times New Roman"/>
          <w:sz w:val="28"/>
          <w:szCs w:val="28"/>
          <w:lang w:val="uk-UA"/>
        </w:rPr>
        <w:t xml:space="preserve"> Єд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иного державного реєстру юридичних осіб, фізичних осіб-підприємців та громадських формувань. </w:t>
      </w:r>
      <w:r>
        <w:rPr>
          <w:rFonts w:ascii="Times New Roman" w:hAnsi="Times New Roman"/>
          <w:sz w:val="28"/>
          <w:szCs w:val="28"/>
          <w:lang w:val="uk-UA"/>
        </w:rPr>
        <w:t>[10, с.212]</w:t>
      </w:r>
    </w:p>
    <w:p w14:paraId="3CE5C600" w14:textId="646D6384" w:rsidR="00747BA7" w:rsidRPr="004D44F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У юридичній літературі існують різні підходи щодо визначення понять «припинення юридичної особи» та «припинення діяльності юридичної особи» як суб’єктів господарювання. Так, зокрема, О.Р.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Кібенко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 xml:space="preserve"> під припиненням юридичної особи </w:t>
      </w:r>
      <w:r w:rsidR="003108FF">
        <w:rPr>
          <w:rFonts w:ascii="Times New Roman" w:hAnsi="Times New Roman"/>
          <w:sz w:val="28"/>
          <w:szCs w:val="28"/>
          <w:lang w:val="uk-UA"/>
        </w:rPr>
        <w:t>…..</w:t>
      </w:r>
      <w:r w:rsidRPr="00DC71F5">
        <w:rPr>
          <w:rFonts w:ascii="Times New Roman" w:hAnsi="Times New Roman"/>
          <w:sz w:val="28"/>
          <w:szCs w:val="28"/>
          <w:lang w:val="uk-UA"/>
        </w:rPr>
        <w:t xml:space="preserve"> для суб’єктів підприємництва, які є корпоративними підприємствами, законодавством передбачено спеціальні правила щодо порядку ухвалення такого рішення. Наприклад, рішення про ліквідацію </w:t>
      </w:r>
      <w:r>
        <w:rPr>
          <w:rFonts w:ascii="Times New Roman" w:hAnsi="Times New Roman"/>
          <w:sz w:val="28"/>
          <w:szCs w:val="28"/>
          <w:lang w:val="uk-UA"/>
        </w:rPr>
        <w:t xml:space="preserve">акціонерного товариства </w:t>
      </w:r>
      <w:r w:rsidRPr="00DC71F5">
        <w:rPr>
          <w:rFonts w:ascii="Times New Roman" w:hAnsi="Times New Roman"/>
          <w:sz w:val="28"/>
          <w:szCs w:val="28"/>
          <w:lang w:val="uk-UA"/>
        </w:rPr>
        <w:t>може бути прийнято тільки загальними зборами товариства.</w:t>
      </w:r>
      <w:r>
        <w:rPr>
          <w:rFonts w:ascii="Times New Roman" w:hAnsi="Times New Roman"/>
          <w:sz w:val="28"/>
          <w:szCs w:val="28"/>
          <w:lang w:val="uk-UA"/>
        </w:rPr>
        <w:t xml:space="preserve"> [10, с.213]</w:t>
      </w:r>
    </w:p>
    <w:p w14:paraId="55E9CD28" w14:textId="77777777" w:rsidR="00747BA7" w:rsidRPr="004D44F7" w:rsidRDefault="00747BA7" w:rsidP="007A0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>Розглянемо підстави щодо припинення підприємницької діяльності:</w:t>
      </w:r>
    </w:p>
    <w:p w14:paraId="069067D3" w14:textId="042FB939" w:rsidR="00747BA7" w:rsidRPr="00302AB8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1. Підприємницька діяльність може припинитись з власної ініціативи суб’єкта господарювання. Підприємець має право у будь-який час за власним </w:t>
      </w:r>
      <w:r w:rsidRPr="004D44F7">
        <w:rPr>
          <w:rFonts w:ascii="Times New Roman" w:hAnsi="Times New Roman"/>
          <w:sz w:val="28"/>
          <w:szCs w:val="28"/>
          <w:lang w:val="uk-UA"/>
        </w:rPr>
        <w:lastRenderedPageBreak/>
        <w:t xml:space="preserve">бажанням прийняти рішення щодо припинення підприємницької діяльності, але при цьому </w:t>
      </w:r>
      <w:r w:rsidR="003108FF">
        <w:rPr>
          <w:rFonts w:ascii="Times New Roman" w:hAnsi="Times New Roman"/>
          <w:sz w:val="28"/>
          <w:szCs w:val="28"/>
          <w:lang w:val="uk-UA"/>
        </w:rPr>
        <w:t>…..</w:t>
      </w:r>
      <w:r w:rsidRPr="009559F8">
        <w:rPr>
          <w:rFonts w:ascii="Times New Roman" w:hAnsi="Times New Roman"/>
          <w:sz w:val="28"/>
          <w:szCs w:val="28"/>
          <w:lang w:val="uk-UA"/>
        </w:rPr>
        <w:t xml:space="preserve"> понять та юридичної сутності ліквідації, реорганізації та банкрутства підприємства, установи, організації має велике теоретичне та практичне значення, особливо в сучасних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9F8">
        <w:rPr>
          <w:rFonts w:ascii="Times New Roman" w:hAnsi="Times New Roman"/>
          <w:sz w:val="28"/>
          <w:szCs w:val="28"/>
          <w:lang w:val="uk-UA"/>
        </w:rPr>
        <w:t>умовах розвитку ринкових відносин.</w:t>
      </w:r>
      <w:r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302AB8">
        <w:rPr>
          <w:rFonts w:ascii="Times New Roman" w:hAnsi="Times New Roman"/>
          <w:sz w:val="28"/>
          <w:szCs w:val="28"/>
        </w:rPr>
        <w:t>30, с.</w:t>
      </w:r>
      <w:r>
        <w:rPr>
          <w:rFonts w:ascii="Times New Roman" w:hAnsi="Times New Roman"/>
          <w:sz w:val="28"/>
          <w:szCs w:val="28"/>
        </w:rPr>
        <w:t>310</w:t>
      </w:r>
      <w:r w:rsidRPr="00302AB8">
        <w:rPr>
          <w:rFonts w:ascii="Times New Roman" w:hAnsi="Times New Roman"/>
          <w:sz w:val="28"/>
          <w:szCs w:val="28"/>
        </w:rPr>
        <w:t>]</w:t>
      </w:r>
    </w:p>
    <w:p w14:paraId="6CEBCA03" w14:textId="047FD6C9" w:rsidR="00747BA7" w:rsidRPr="004D44F7" w:rsidRDefault="00747BA7" w:rsidP="00302A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Отже, </w:t>
      </w:r>
      <w:r w:rsidR="003108FF">
        <w:rPr>
          <w:rFonts w:ascii="Times New Roman" w:hAnsi="Times New Roman"/>
          <w:bCs/>
          <w:sz w:val="28"/>
          <w:szCs w:val="28"/>
          <w:lang w:val="uk-UA" w:eastAsia="ru-RU"/>
        </w:rPr>
        <w:t>….</w:t>
      </w:r>
    </w:p>
    <w:p w14:paraId="2CB1D66B" w14:textId="77777777" w:rsidR="00747BA7" w:rsidRPr="004D44F7" w:rsidRDefault="00747BA7" w:rsidP="0094266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</w:t>
      </w: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ОЗДІЛ 2</w:t>
      </w:r>
    </w:p>
    <w:p w14:paraId="3D7B8E21" w14:textId="77777777" w:rsidR="00747BA7" w:rsidRPr="004D44F7" w:rsidRDefault="00747BA7" w:rsidP="0094266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ПРИПИНЕННЯ ГОСПОДАРСЬКОЇ ДІЯЛЬНОСТІ ЮРИДИЧНИХ ОСІБ</w:t>
      </w:r>
    </w:p>
    <w:p w14:paraId="480857DD" w14:textId="77777777" w:rsidR="00747BA7" w:rsidRPr="004D44F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2.1. Порядок припинення юридичних осіб шляхом ліквідації</w:t>
      </w:r>
    </w:p>
    <w:p w14:paraId="031F84E4" w14:textId="77777777" w:rsidR="00747BA7" w:rsidRPr="004D44F7" w:rsidRDefault="00747BA7" w:rsidP="00A302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 Незважаючи на те, що термін «ліквідація юридичної особи» не є новим, законодавчого закріплення в Україні він не отримав. Це, своєю чергою, зумовлює дискусії щодо визначення змісту цього поняття, а також його відмінності від реорганізації тощо. [12, с.105]</w:t>
      </w:r>
    </w:p>
    <w:p w14:paraId="6B39DCDE" w14:textId="77777777" w:rsidR="00747BA7" w:rsidRPr="004D44F7" w:rsidRDefault="00747BA7" w:rsidP="000B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>Відповідно до ч. 1 ст. 104 Цивільного кодексу України юридична особа припиняється в результаті реорганізації (злиття, приєднання, поділу, перетворення) або ліквідації. У разі реорганізації юридичних осіб майно, права та обов’язки переходять до правонаступників. [8]</w:t>
      </w:r>
    </w:p>
    <w:p w14:paraId="25DB19C7" w14:textId="77777777" w:rsidR="00747BA7" w:rsidRPr="004D44F7" w:rsidRDefault="00747BA7" w:rsidP="000B4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>Як вже було зазначено, у цивільному законодавстві України немає визначення поняття «ліквідація юридичної особи», хоча особливості ліквідації встановлені ледь не для усіх видів та організаційно-правових форм юридичних осіб. [12, с.106]</w:t>
      </w:r>
    </w:p>
    <w:p w14:paraId="1B822B7B" w14:textId="331FBE71" w:rsidR="00747BA7" w:rsidRPr="004D44F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Однак у ст. 37 Закону України «Про відновлення платоспроможності боржника або визнання його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 приєднання до вже існуючих в порядку правонаступництва. [12, с.108]</w:t>
      </w:r>
    </w:p>
    <w:p w14:paraId="29E9747C" w14:textId="3C9ABA04" w:rsidR="00747BA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Підсумовуючи вищевикладене,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</w:p>
    <w:p w14:paraId="7C26925C" w14:textId="77777777" w:rsidR="00747BA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6EC9C10A" w14:textId="77777777" w:rsidR="00747BA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CFF92F2" w14:textId="77777777" w:rsidR="00747BA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03B52090" w14:textId="77777777" w:rsidR="00747BA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6AEF533" w14:textId="77777777" w:rsidR="00747BA7" w:rsidRPr="004D44F7" w:rsidRDefault="00747BA7" w:rsidP="009426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2.2. Порядок припинення юридичних осіб</w:t>
      </w:r>
      <w:r w:rsidRPr="004D44F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шляхом реорганізації</w:t>
      </w:r>
    </w:p>
    <w:p w14:paraId="11018AE9" w14:textId="77777777" w:rsidR="00747BA7" w:rsidRDefault="00747BA7" w:rsidP="00D32A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32A0A">
        <w:rPr>
          <w:rFonts w:ascii="Times New Roman" w:hAnsi="Times New Roman"/>
          <w:sz w:val="28"/>
          <w:szCs w:val="28"/>
          <w:lang w:val="uk-UA"/>
        </w:rPr>
        <w:t>Одним із процесів, що забезпечує створення стійких, конкурентоздатних та фінансово незалежних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A0A">
        <w:rPr>
          <w:rFonts w:ascii="Times New Roman" w:hAnsi="Times New Roman"/>
          <w:sz w:val="28"/>
          <w:szCs w:val="28"/>
          <w:lang w:val="uk-UA"/>
        </w:rPr>
        <w:t>підприємницьких товариств, є реорганізація, яка виступає способом оптимізації організації їх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A0A">
        <w:rPr>
          <w:rFonts w:ascii="Times New Roman" w:hAnsi="Times New Roman"/>
          <w:sz w:val="28"/>
          <w:szCs w:val="28"/>
          <w:lang w:val="uk-UA"/>
        </w:rPr>
        <w:t>залежно від ринкових умов. Безперечною перевагою інституту реорганізації є те, що при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A0A">
        <w:rPr>
          <w:rFonts w:ascii="Times New Roman" w:hAnsi="Times New Roman"/>
          <w:sz w:val="28"/>
          <w:szCs w:val="28"/>
          <w:lang w:val="uk-UA"/>
        </w:rPr>
        <w:t>застосуванні зберігається стабільність цивільного обороту, забезпечується гарантування договірних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A0A">
        <w:rPr>
          <w:rFonts w:ascii="Times New Roman" w:hAnsi="Times New Roman"/>
          <w:sz w:val="28"/>
          <w:szCs w:val="28"/>
          <w:lang w:val="uk-UA"/>
        </w:rPr>
        <w:t>зв’язків, гарантування прав кредиторів тощо. В той же час, як правове явище, реорганізація є базовою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A0A">
        <w:rPr>
          <w:rFonts w:ascii="Times New Roman" w:hAnsi="Times New Roman"/>
          <w:sz w:val="28"/>
          <w:szCs w:val="28"/>
          <w:lang w:val="uk-UA"/>
        </w:rPr>
        <w:t xml:space="preserve">категорією, що окреслює необхідність вироблення ефективного правового механізму реорганізації. </w:t>
      </w:r>
      <w:r w:rsidRPr="004D44F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4D44F7">
        <w:rPr>
          <w:rFonts w:ascii="Times New Roman" w:hAnsi="Times New Roman"/>
          <w:sz w:val="28"/>
          <w:szCs w:val="28"/>
          <w:lang w:val="uk-UA"/>
        </w:rPr>
        <w:t>, с.32]</w:t>
      </w:r>
    </w:p>
    <w:p w14:paraId="033AB6E8" w14:textId="11A1AF26" w:rsidR="00747BA7" w:rsidRDefault="00747BA7" w:rsidP="000966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З метою виходу з кризи, запровадження ефективних методів діяльності та управління багато </w:t>
      </w:r>
      <w:r w:rsidR="003108FF">
        <w:rPr>
          <w:rFonts w:ascii="Times New Roman" w:hAnsi="Times New Roman"/>
          <w:sz w:val="28"/>
          <w:szCs w:val="28"/>
          <w:lang w:val="uk-UA"/>
        </w:rPr>
        <w:t>…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 і колективних підприємств. Реорганізація є джерелом розширення ринків сировинних та енергетичних ресурсів, збуту продукції, важливим інструментом у вирішенні конфліктних ситуацій, що виникають між власниками підприємств. [19, с.431 – 432]</w:t>
      </w:r>
    </w:p>
    <w:p w14:paraId="53818531" w14:textId="7D50DFC0" w:rsidR="00747BA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B4D91">
        <w:rPr>
          <w:rFonts w:ascii="Times New Roman" w:hAnsi="Times New Roman"/>
          <w:sz w:val="28"/>
          <w:szCs w:val="28"/>
          <w:lang w:val="uk-UA"/>
        </w:rPr>
        <w:t>Суть реорганізації полягає у припиненні діяльності одних і виникненні нових суб’єктів господарювання відповідних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D91">
        <w:rPr>
          <w:rFonts w:ascii="Times New Roman" w:hAnsi="Times New Roman"/>
          <w:sz w:val="28"/>
          <w:szCs w:val="28"/>
          <w:lang w:val="uk-UA"/>
        </w:rPr>
        <w:t xml:space="preserve">організаційно-правових форм. Внаслідок реорганізації виникають нові суб’єкти господарювання, які є </w:t>
      </w:r>
      <w:r w:rsidR="003108FF">
        <w:rPr>
          <w:rFonts w:ascii="Times New Roman" w:hAnsi="Times New Roman"/>
          <w:sz w:val="28"/>
          <w:szCs w:val="28"/>
          <w:lang w:val="uk-UA"/>
        </w:rPr>
        <w:t>…..</w:t>
      </w:r>
    </w:p>
    <w:p w14:paraId="2ADF91DA" w14:textId="77777777" w:rsidR="00747BA7" w:rsidRDefault="00747BA7" w:rsidP="009559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559F8">
        <w:rPr>
          <w:rFonts w:ascii="Times New Roman" w:hAnsi="Times New Roman"/>
          <w:sz w:val="28"/>
          <w:szCs w:val="28"/>
          <w:lang w:val="uk-UA"/>
        </w:rPr>
        <w:t>2) якщо у юридичної особи, що звільнилася від боргів, залишок її майнових активів менший, ніж вимагається для продовження нею господарської діяльності згідно із законодавством (</w:t>
      </w:r>
      <w:proofErr w:type="spellStart"/>
      <w:r w:rsidRPr="009559F8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59F8">
        <w:rPr>
          <w:rFonts w:ascii="Times New Roman" w:hAnsi="Times New Roman"/>
          <w:sz w:val="28"/>
          <w:szCs w:val="28"/>
          <w:lang w:val="uk-UA"/>
        </w:rPr>
        <w:t>2 ч</w:t>
      </w:r>
      <w:r>
        <w:rPr>
          <w:rFonts w:ascii="Times New Roman" w:hAnsi="Times New Roman"/>
          <w:sz w:val="28"/>
          <w:szCs w:val="28"/>
          <w:lang w:val="uk-UA"/>
        </w:rPr>
        <w:t>. 5</w:t>
      </w:r>
      <w:r w:rsidRPr="009559F8">
        <w:rPr>
          <w:rFonts w:ascii="Times New Roman" w:hAnsi="Times New Roman"/>
          <w:sz w:val="28"/>
          <w:szCs w:val="28"/>
          <w:lang w:val="uk-UA"/>
        </w:rPr>
        <w:t xml:space="preserve"> ст. 46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559F8">
        <w:rPr>
          <w:rFonts w:ascii="Times New Roman" w:hAnsi="Times New Roman"/>
          <w:sz w:val="28"/>
          <w:szCs w:val="28"/>
          <w:lang w:val="uk-UA"/>
        </w:rPr>
        <w:t xml:space="preserve"> України «Про відновлення платоспроможності боржника або визнання його банкрутом»).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9F8">
        <w:rPr>
          <w:rFonts w:ascii="Times New Roman" w:hAnsi="Times New Roman"/>
          <w:sz w:val="28"/>
          <w:szCs w:val="28"/>
          <w:lang w:val="uk-UA"/>
        </w:rPr>
        <w:t>[25, с.135-136]</w:t>
      </w:r>
    </w:p>
    <w:p w14:paraId="2730298A" w14:textId="5E51C5D3" w:rsidR="00747BA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</w:p>
    <w:p w14:paraId="7DB65BCF" w14:textId="77777777" w:rsidR="00747BA7" w:rsidRDefault="00747BA7" w:rsidP="00E24E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7ED1BBE" w14:textId="77777777" w:rsidR="00747BA7" w:rsidRPr="004D44F7" w:rsidRDefault="00747BA7" w:rsidP="00E24E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РОЗДІЛ 3</w:t>
      </w:r>
    </w:p>
    <w:p w14:paraId="3E4E387E" w14:textId="77777777" w:rsidR="00747BA7" w:rsidRPr="004D44F7" w:rsidRDefault="00747BA7" w:rsidP="0094266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bCs/>
          <w:sz w:val="28"/>
          <w:szCs w:val="28"/>
          <w:lang w:val="uk-UA" w:eastAsia="ru-RU"/>
        </w:rPr>
        <w:t>ПОРЯДОК ПРИПИНЕННЯ ДІЯЛЬНОСТІ ФІЗИЧНОЇ ОСОБИ – ПІДПРИЄМЦЯ</w:t>
      </w:r>
    </w:p>
    <w:p w14:paraId="59DA05E6" w14:textId="77777777" w:rsidR="00747BA7" w:rsidRDefault="00747BA7" w:rsidP="000B76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76A6">
        <w:rPr>
          <w:rFonts w:ascii="Times New Roman" w:hAnsi="Times New Roman"/>
          <w:sz w:val="28"/>
          <w:szCs w:val="28"/>
          <w:lang w:val="uk-UA"/>
        </w:rPr>
        <w:t>Особливу увагу треба звернути і на фізичних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6A6">
        <w:rPr>
          <w:rFonts w:ascii="Times New Roman" w:hAnsi="Times New Roman"/>
          <w:sz w:val="28"/>
          <w:szCs w:val="28"/>
          <w:lang w:val="uk-UA"/>
        </w:rPr>
        <w:t>осіб – підприємців, оскільки положення, що регулюють процедуру їх припинення, не містяться ні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6A6">
        <w:rPr>
          <w:rFonts w:ascii="Times New Roman" w:hAnsi="Times New Roman"/>
          <w:sz w:val="28"/>
          <w:szCs w:val="28"/>
          <w:lang w:val="uk-UA"/>
        </w:rPr>
        <w:t xml:space="preserve">Господарському кодексі України, ні в Цивільному кодексі України, лише в </w:t>
      </w:r>
      <w:r w:rsidRPr="000B76A6">
        <w:rPr>
          <w:rFonts w:ascii="Times New Roman" w:hAnsi="Times New Roman"/>
          <w:sz w:val="28"/>
          <w:szCs w:val="28"/>
          <w:lang w:val="uk-UA"/>
        </w:rPr>
        <w:lastRenderedPageBreak/>
        <w:t>Законі України «Про державну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6A6">
        <w:rPr>
          <w:rFonts w:ascii="Times New Roman" w:hAnsi="Times New Roman"/>
          <w:sz w:val="28"/>
          <w:szCs w:val="28"/>
          <w:lang w:val="uk-UA"/>
        </w:rPr>
        <w:t>реєстрацію юридичних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B76A6">
        <w:rPr>
          <w:rFonts w:ascii="Times New Roman" w:hAnsi="Times New Roman"/>
          <w:sz w:val="28"/>
          <w:szCs w:val="28"/>
          <w:lang w:val="uk-UA"/>
        </w:rPr>
        <w:t xml:space="preserve"> фізичних осіб – підприємців</w:t>
      </w:r>
      <w:r>
        <w:rPr>
          <w:rFonts w:ascii="Times New Roman" w:hAnsi="Times New Roman"/>
          <w:sz w:val="28"/>
          <w:szCs w:val="28"/>
          <w:lang w:val="uk-UA"/>
        </w:rPr>
        <w:t xml:space="preserve"> та громадських формувань</w:t>
      </w:r>
      <w:r w:rsidRPr="000B76A6">
        <w:rPr>
          <w:rFonts w:ascii="Times New Roman" w:hAnsi="Times New Roman"/>
          <w:sz w:val="28"/>
          <w:szCs w:val="28"/>
          <w:lang w:val="uk-UA"/>
        </w:rPr>
        <w:t>», що вказує на прогалини в українській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6A6">
        <w:rPr>
          <w:rFonts w:ascii="Times New Roman" w:hAnsi="Times New Roman"/>
          <w:sz w:val="28"/>
          <w:szCs w:val="28"/>
          <w:lang w:val="uk-UA"/>
        </w:rPr>
        <w:t xml:space="preserve">системі законодавства. </w:t>
      </w:r>
      <w:r>
        <w:rPr>
          <w:rFonts w:ascii="Times New Roman" w:hAnsi="Times New Roman"/>
          <w:sz w:val="28"/>
          <w:szCs w:val="28"/>
          <w:lang w:val="uk-UA"/>
        </w:rPr>
        <w:t>[14, с.72</w:t>
      </w:r>
      <w:r w:rsidRPr="004D44F7">
        <w:rPr>
          <w:rFonts w:ascii="Times New Roman" w:hAnsi="Times New Roman"/>
          <w:sz w:val="28"/>
          <w:szCs w:val="28"/>
          <w:lang w:val="uk-UA"/>
        </w:rPr>
        <w:t>]</w:t>
      </w:r>
    </w:p>
    <w:p w14:paraId="1C213760" w14:textId="77777777" w:rsidR="00747BA7" w:rsidRPr="004D44F7" w:rsidRDefault="00747BA7" w:rsidP="004F2D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>Порядок припинення діяльності суб’єкта підприємництва — громадянина, за думкою більшості дослідників, є необхідним елементом його правового статусу, і без його належного правового забезпечення неможливо вести мову про достатній рівень ефективності законодавства у цій сфері. [14, с.69]</w:t>
      </w:r>
    </w:p>
    <w:p w14:paraId="3CE06533" w14:textId="5AE51FCB" w:rsidR="00747BA7" w:rsidRPr="004D44F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Fonts w:ascii="Times New Roman" w:hAnsi="Times New Roman"/>
          <w:sz w:val="28"/>
          <w:szCs w:val="28"/>
          <w:lang w:val="uk-UA"/>
        </w:rPr>
        <w:t xml:space="preserve">У вітчизняному законодавстві положення про припинення діяльності суб’єкта підприємництва — громадянина містяться у низці законодавчих актів, включаючи кодифіковані. Так, загальні положення щодо припинення діяльності цієї категорії суб’єктів господарювання містяться в Господарському кодексі України [1] та Цивільному кодексі України [8]. Особливості припинення діяльності суб’єкта підприємництва — громадянина як платника податків містяться в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 підприємця відповідає даті отримання відомостей про державну реєстрацію припинення підприємницької діяльності фізичної особи - підприємця. 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D44F7">
        <w:rPr>
          <w:rFonts w:ascii="Times New Roman" w:hAnsi="Times New Roman"/>
          <w:sz w:val="28"/>
          <w:szCs w:val="28"/>
          <w:lang w:val="uk-UA"/>
        </w:rPr>
        <w:t>]</w:t>
      </w:r>
    </w:p>
    <w:p w14:paraId="25F7794A" w14:textId="7BC4D1BC" w:rsidR="00747BA7" w:rsidRPr="004D44F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Pr="00E82E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</w:p>
    <w:p w14:paraId="21F4DFA8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34E65B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5FEFB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C3DFCA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6D24D8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2B51DA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FFACD" w14:textId="77777777" w:rsidR="00747BA7" w:rsidRDefault="00747BA7" w:rsidP="00B825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7565CF" w14:textId="77777777" w:rsidR="00747BA7" w:rsidRPr="004F38B0" w:rsidRDefault="00747BA7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38B0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79CFA025" w14:textId="77777777" w:rsidR="00747BA7" w:rsidRPr="004F38B0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F38B0">
        <w:rPr>
          <w:rFonts w:ascii="Times New Roman" w:hAnsi="Times New Roman"/>
          <w:sz w:val="28"/>
          <w:szCs w:val="28"/>
          <w:lang w:val="uk-UA"/>
        </w:rPr>
        <w:t>Проаналізувавши чинне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цивільне та господарське</w:t>
      </w:r>
      <w:r w:rsidRPr="004F38B0">
        <w:rPr>
          <w:rFonts w:ascii="Times New Roman" w:hAnsi="Times New Roman"/>
          <w:sz w:val="28"/>
          <w:szCs w:val="28"/>
          <w:lang w:val="uk-UA"/>
        </w:rPr>
        <w:t xml:space="preserve"> законодавство України, яке </w:t>
      </w:r>
      <w:r>
        <w:rPr>
          <w:rFonts w:ascii="Times New Roman" w:hAnsi="Times New Roman"/>
          <w:sz w:val="28"/>
          <w:szCs w:val="28"/>
          <w:lang w:val="uk-UA"/>
        </w:rPr>
        <w:t>регулює</w:t>
      </w:r>
      <w:r w:rsidRPr="004F38B0">
        <w:rPr>
          <w:rFonts w:ascii="Times New Roman" w:hAnsi="Times New Roman"/>
          <w:sz w:val="28"/>
          <w:szCs w:val="28"/>
          <w:lang w:val="uk-UA"/>
        </w:rPr>
        <w:t xml:space="preserve"> припинення діяльності суб’єктів господарювання, ми </w:t>
      </w:r>
      <w:r>
        <w:rPr>
          <w:rFonts w:ascii="Times New Roman" w:hAnsi="Times New Roman"/>
          <w:sz w:val="28"/>
          <w:szCs w:val="28"/>
          <w:lang w:val="uk-UA"/>
        </w:rPr>
        <w:t>зроби</w:t>
      </w:r>
      <w:r w:rsidRPr="004F38B0">
        <w:rPr>
          <w:rFonts w:ascii="Times New Roman" w:hAnsi="Times New Roman"/>
          <w:sz w:val="28"/>
          <w:szCs w:val="28"/>
          <w:lang w:val="uk-UA"/>
        </w:rPr>
        <w:t>ли наступн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F38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F38B0">
        <w:rPr>
          <w:rFonts w:ascii="Times New Roman" w:hAnsi="Times New Roman"/>
          <w:sz w:val="28"/>
          <w:szCs w:val="28"/>
          <w:lang w:val="uk-UA"/>
        </w:rPr>
        <w:t>:</w:t>
      </w:r>
    </w:p>
    <w:p w14:paraId="2D3FA5A7" w14:textId="77777777" w:rsidR="00747BA7" w:rsidRPr="004F38B0" w:rsidRDefault="00747BA7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F38B0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Жоден законодавчий акт України</w:t>
      </w:r>
      <w:r w:rsidRPr="004F38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закріплює таке</w:t>
      </w:r>
      <w:r w:rsidRPr="004F38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поняття, як </w:t>
      </w:r>
      <w:r w:rsidRPr="004F38B0">
        <w:rPr>
          <w:rFonts w:ascii="Times New Roman" w:hAnsi="Times New Roman"/>
          <w:sz w:val="28"/>
          <w:szCs w:val="28"/>
          <w:lang w:val="uk-UA"/>
        </w:rPr>
        <w:t>припинення діяльності суб’єкта господарювання</w:t>
      </w:r>
      <w:r>
        <w:rPr>
          <w:rFonts w:ascii="Times New Roman" w:hAnsi="Times New Roman"/>
          <w:sz w:val="28"/>
          <w:szCs w:val="28"/>
          <w:lang w:val="uk-UA"/>
        </w:rPr>
        <w:t>, а с</w:t>
      </w:r>
      <w:r w:rsidRPr="005550BC">
        <w:rPr>
          <w:rFonts w:ascii="Times New Roman" w:hAnsi="Times New Roman"/>
          <w:sz w:val="28"/>
          <w:szCs w:val="28"/>
          <w:lang w:val="uk-UA"/>
        </w:rPr>
        <w:t xml:space="preserve">утність </w:t>
      </w:r>
      <w:r>
        <w:rPr>
          <w:rFonts w:ascii="Times New Roman" w:hAnsi="Times New Roman"/>
          <w:sz w:val="28"/>
          <w:szCs w:val="28"/>
          <w:lang w:val="uk-UA"/>
        </w:rPr>
        <w:t>дан</w:t>
      </w:r>
      <w:r w:rsidRPr="005550BC">
        <w:rPr>
          <w:rFonts w:ascii="Times New Roman" w:hAnsi="Times New Roman"/>
          <w:sz w:val="28"/>
          <w:szCs w:val="28"/>
          <w:lang w:val="uk-UA"/>
        </w:rPr>
        <w:t xml:space="preserve">ого поняття </w:t>
      </w:r>
      <w:r w:rsidRPr="005550BC">
        <w:rPr>
          <w:rFonts w:ascii="Times New Roman" w:hAnsi="Times New Roman"/>
          <w:sz w:val="28"/>
          <w:szCs w:val="28"/>
          <w:lang w:val="uk-UA"/>
        </w:rPr>
        <w:lastRenderedPageBreak/>
        <w:t>випливає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0BC">
        <w:rPr>
          <w:rFonts w:ascii="Times New Roman" w:hAnsi="Times New Roman"/>
          <w:sz w:val="28"/>
          <w:szCs w:val="28"/>
          <w:lang w:val="uk-UA"/>
        </w:rPr>
        <w:t xml:space="preserve">із загальних положень про процедуру припинення </w:t>
      </w:r>
      <w:r>
        <w:rPr>
          <w:rFonts w:ascii="Times New Roman" w:hAnsi="Times New Roman"/>
          <w:sz w:val="28"/>
          <w:szCs w:val="28"/>
          <w:lang w:val="uk-UA"/>
        </w:rPr>
        <w:t>господарськ</w:t>
      </w:r>
      <w:r w:rsidRPr="005550BC">
        <w:rPr>
          <w:rFonts w:ascii="Times New Roman" w:hAnsi="Times New Roman"/>
          <w:sz w:val="28"/>
          <w:szCs w:val="28"/>
          <w:lang w:val="uk-UA"/>
        </w:rPr>
        <w:t>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0639873" w14:textId="22384B33" w:rsidR="00747BA7" w:rsidRDefault="00747BA7" w:rsidP="00310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F38B0">
        <w:rPr>
          <w:rFonts w:ascii="Times New Roman" w:hAnsi="Times New Roman"/>
          <w:sz w:val="28"/>
          <w:szCs w:val="28"/>
          <w:lang w:val="uk-UA"/>
        </w:rPr>
        <w:t>2. Припинення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8FF">
        <w:rPr>
          <w:rFonts w:ascii="Times New Roman" w:hAnsi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17DC4BE5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585B0B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A9A071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7CFB2B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BCA4F1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10A95C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3E1959" w14:textId="77777777" w:rsidR="00747BA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5F269A" w14:textId="77777777" w:rsidR="00747BA7" w:rsidRPr="004D44F7" w:rsidRDefault="00747BA7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4F7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4458AF6C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1. Господарський кодекс України: Закон України від 16.01.2003 р. № 436-IV.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2003. № 18, № 19-20, № 21-22. Ст. 144.</w:t>
      </w:r>
    </w:p>
    <w:p w14:paraId="194E9508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2. 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Податковий кодекс України: Закон України від 02.12.2010 р. № 2755-VI. </w:t>
      </w:r>
      <w:r w:rsidRPr="004D44F7">
        <w:rPr>
          <w:rFonts w:ascii="Times New Roman" w:hAnsi="Times New Roman"/>
          <w:i/>
          <w:sz w:val="28"/>
          <w:szCs w:val="28"/>
          <w:lang w:val="uk-UA"/>
        </w:rPr>
        <w:t xml:space="preserve">Відомості Верховної Ради України. 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2011 р. № 13,/№ 13-14, № 15-16, № 17/. </w:t>
      </w:r>
      <w:proofErr w:type="spellStart"/>
      <w:r w:rsidRPr="004D44F7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Pr="004D44F7">
        <w:rPr>
          <w:rFonts w:ascii="Times New Roman" w:hAnsi="Times New Roman"/>
          <w:sz w:val="28"/>
          <w:szCs w:val="28"/>
          <w:lang w:val="uk-UA"/>
        </w:rPr>
        <w:t>. 556, стаття 112.</w:t>
      </w:r>
    </w:p>
    <w:p w14:paraId="76B822BA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3. Про акціонерні товариства: Закон України від 17.09.2008 р. № 514-VI.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2008. № 50-51. ст. 384.</w:t>
      </w:r>
    </w:p>
    <w:p w14:paraId="11193D13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4. Про відновлення платоспроможності боржника або визнання його банкрутом: Закон України від 14.05.1992 р. № 2343-XII.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1992. № 31. стаття 440.</w:t>
      </w:r>
    </w:p>
    <w:p w14:paraId="1048ACFD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5. Про господарські товариства: Закон України від 19.09.1991 р. № 1576-XII.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1991. № 49. ст. 682.</w:t>
      </w:r>
    </w:p>
    <w:p w14:paraId="4F212A65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6. Про державну реєстрацію юридичних осіб, фізичних осіб - підприємців та громадських формувань: Закон України від 15.05.2003 р. № 755-IV.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2003. № 31-32. ст. 263.</w:t>
      </w:r>
    </w:p>
    <w:p w14:paraId="46643F48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7. Про товариства з обмеженою та додатковою відповідальністю: Закон України від 06.02.2018 р. № 2275-VIII.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2018. № 13. ст. 69.</w:t>
      </w:r>
    </w:p>
    <w:p w14:paraId="0EDC77CA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>8. Цивільний кодекс України: Закон України від 16.01.2003 р. № 435-IV. Відомості Верховної Ради України. 2003. №№ 40-44. Ст. 35.</w:t>
      </w:r>
    </w:p>
    <w:p w14:paraId="3AEC3090" w14:textId="77777777" w:rsidR="00747BA7" w:rsidRPr="004D44F7" w:rsidRDefault="00747BA7" w:rsidP="009D6604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9. Про припинення підприємницької діяльності: Лист ДФС від 24.07.2017 р. № 1332/К/99-99-13-04-02-14/ІПК</w:t>
      </w:r>
    </w:p>
    <w:p w14:paraId="120FD64A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10. Хомко Л.В.,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Кульгавець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Х.Ю. Правове регулювання підприємницької діяльності: навчальний посібник. Львів: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ЛьвДУВС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2016. 424 с.</w:t>
      </w:r>
    </w:p>
    <w:p w14:paraId="049C7D6C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11. Щербина B. C. Господарське право: підручник. 6-те вид., перероб. і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К.: Юрінком Інтер. 2013. 640 с.</w:t>
      </w:r>
    </w:p>
    <w:p w14:paraId="028455FB" w14:textId="77777777" w:rsidR="00747BA7" w:rsidRPr="004D44F7" w:rsidRDefault="00747BA7" w:rsidP="001D035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12. Абрамова А.С.,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Духніч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О.В. Основні причини банкрутства підприємств України та заходи запобігання їх неплатоспроможності.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Молодий вчений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2017. № 11 (51). С. 1092 – 1095.</w:t>
      </w:r>
    </w:p>
    <w:p w14:paraId="29E32513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13. Гнатів О.М. Поняття та види ліквідації як способу припинення юридичних осіб за цивільним законодавством України.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Львівського державного університету внутрішніх справ.</w:t>
      </w:r>
      <w:r w:rsidRPr="004D44F7">
        <w:rPr>
          <w:lang w:val="uk-UA"/>
        </w:rPr>
        <w:t xml:space="preserve"> 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2016.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№ 2. с. 105 – 111.</w:t>
      </w:r>
    </w:p>
    <w:p w14:paraId="0A1207CD" w14:textId="77777777" w:rsidR="00747BA7" w:rsidRPr="004D44F7" w:rsidRDefault="00747BA7" w:rsidP="002B092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14. Жарікова Є.О. Про окремі аспекти припинення діяльності суб’єктів підприємництва – громадян.</w:t>
      </w:r>
      <w:r w:rsidRPr="004D44F7">
        <w:rPr>
          <w:rFonts w:ascii="NewtonC" w:hAnsi="NewtonC" w:cs="NewtonC"/>
          <w:sz w:val="24"/>
          <w:szCs w:val="24"/>
          <w:lang w:val="uk-UA" w:eastAsia="uk-UA"/>
        </w:rPr>
        <w:t xml:space="preserve">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Економіка та право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2013. № 2. С. 69 – 74.</w:t>
      </w:r>
    </w:p>
    <w:p w14:paraId="70C1E8EF" w14:textId="77777777" w:rsidR="00747BA7" w:rsidRPr="004D44F7" w:rsidRDefault="00747BA7" w:rsidP="001D035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15. Зайцев О.В., Нікітін Д.В. Інститут банкрутства, його функції та роль на сучасному етапі економічного розвитку держави.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Причорноморські економічні студії.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2017. Випуск 16. С. 142 – 145.</w:t>
      </w:r>
    </w:p>
    <w:p w14:paraId="5A121222" w14:textId="77777777" w:rsidR="00747BA7" w:rsidRPr="004D44F7" w:rsidRDefault="00747BA7" w:rsidP="001D035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16. Зайцев О.В., Нікітін Д.В. Особливості банкрутства суб’єктів господарювання державного сектору економіки України.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Ужгородського національного університету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2017. Випуск 16. Частина 1.  С. 107 – 110.</w:t>
      </w:r>
    </w:p>
    <w:p w14:paraId="024E7F31" w14:textId="77777777" w:rsidR="00747BA7" w:rsidRPr="004D44F7" w:rsidRDefault="00747BA7" w:rsidP="001D035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17. Єпіфанова І.М. Банкрутство підприємств: спектр невирішених проблем.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Економіка: реалії часу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2017. № 1 (29). С. 55 – 63.</w:t>
      </w:r>
    </w:p>
    <w:p w14:paraId="1872304D" w14:textId="77777777" w:rsidR="00747BA7" w:rsidRPr="004D44F7" w:rsidRDefault="00747BA7" w:rsidP="00973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18. Коваленко О.В., Скляренко К.В. Банкрутство підприємств України: причини та наслідки. 2013. С. 66 – 74. </w:t>
      </w:r>
      <w:hyperlink r:id="rId7" w:history="1">
        <w:r w:rsidRPr="004D44F7">
          <w:rPr>
            <w:rStyle w:val="a9"/>
            <w:rFonts w:ascii="Times New Roman" w:hAnsi="Times New Roman"/>
            <w:sz w:val="28"/>
            <w:szCs w:val="28"/>
            <w:lang w:val="uk-UA"/>
          </w:rPr>
          <w:t>http://www.zgia.zp.ua/gazeta/evzdia_4_066.pdf</w:t>
        </w:r>
      </w:hyperlink>
    </w:p>
    <w:p w14:paraId="6FB3C7F9" w14:textId="77777777" w:rsidR="00747BA7" w:rsidRPr="004D44F7" w:rsidRDefault="00747BA7" w:rsidP="00140BAB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Криворученко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М.В. Реорганізація суб’єктів господарювання: правові засади та економічна доцільність. 2018. С. 431 – 434. </w:t>
      </w:r>
      <w:hyperlink r:id="rId8" w:history="1">
        <w:r w:rsidRPr="004D44F7">
          <w:rPr>
            <w:rStyle w:val="a9"/>
            <w:rFonts w:ascii="Times New Roman" w:hAnsi="Times New Roman"/>
            <w:sz w:val="28"/>
            <w:szCs w:val="28"/>
            <w:lang w:val="uk-UA"/>
          </w:rPr>
          <w:t>http://dspace.onua.edu.ua/bitstream/handle/11300/10663/19_%D0%9A%D1%80%D0%B8%D0%B2%D0%BE%D1%80%D1%83%D1%87%D0%B5%D0%BD%D0%BA%D0%BE_431-434.pdf?sequence=1&amp;isAllowed=y</w:t>
        </w:r>
      </w:hyperlink>
    </w:p>
    <w:p w14:paraId="5F0B8FAB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20. Купка Ю.М. Проблеми правового регулювання реорганізації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субʼєктів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господарювання.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Актуальні проблеми цивільного та господарського права: матеріали 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всеукр</w:t>
      </w:r>
      <w:proofErr w:type="spellEnd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. наук.-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практ</w:t>
      </w:r>
      <w:proofErr w:type="spellEnd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2016. С. 248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– 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250.</w:t>
      </w:r>
    </w:p>
    <w:p w14:paraId="599388D5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Новохацька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М.Ю. Юридичні аспекти припинення суб’єктів господарювання.</w:t>
      </w:r>
      <w:r w:rsidRPr="004D44F7">
        <w:rPr>
          <w:lang w:val="uk-UA"/>
        </w:rPr>
        <w:t xml:space="preserve">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Ужгородського національного університету.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Серія Право.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2016. Випуск 37. Том 2. с. 69 – 73.</w:t>
      </w:r>
    </w:p>
    <w:p w14:paraId="0BF53AEF" w14:textId="77777777" w:rsidR="00747BA7" w:rsidRPr="004D44F7" w:rsidRDefault="00747BA7" w:rsidP="00140BAB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22. Носань Н.С. Адаптація Європейського досвіду функціонування механізму банкрутства підприємств у вітчизняній практиці.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Інвестиції: практика та досвід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2016. № 18. С. 52 – 56.</w:t>
      </w:r>
    </w:p>
    <w:p w14:paraId="59E29759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Очерятіна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І.І. Форми реорганізації як різновиду припинення господарських товариств.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Актуальні проблеми цивільного та господарського права: матеріали 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всеукр</w:t>
      </w:r>
      <w:proofErr w:type="spellEnd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. наук.-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практ</w:t>
      </w:r>
      <w:proofErr w:type="spellEnd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.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2016. с. 252 – 255.</w:t>
      </w:r>
    </w:p>
    <w:p w14:paraId="64D517D5" w14:textId="77777777" w:rsidR="00747BA7" w:rsidRPr="004D44F7" w:rsidRDefault="00747BA7" w:rsidP="00140BAB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i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Пігуль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Н.Г., Семенець В.П. Сутність та значення санації підприємства в сучасних умовах господарювання.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Економіка і суспільство. 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2019. Випуск № 20. С. 359 – 365.</w:t>
      </w:r>
    </w:p>
    <w:p w14:paraId="5E0032CC" w14:textId="77777777" w:rsidR="00747BA7" w:rsidRPr="004D44F7" w:rsidRDefault="00747BA7" w:rsidP="00FC5450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25. Повар П.О. Актуальні питання правового регулювання ліквідації суб’єктів господарювання, пов’язані з оновленням законодавства про банкрутство.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Вісник Вищої ради юстиції.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2012. № 2 (10). С. 127 - 141.</w:t>
      </w:r>
    </w:p>
    <w:p w14:paraId="48A9B5F1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26. </w:t>
      </w:r>
      <w:r w:rsidRPr="004D44F7">
        <w:rPr>
          <w:rFonts w:ascii="Times New Roman" w:hAnsi="Times New Roman"/>
          <w:sz w:val="28"/>
          <w:szCs w:val="28"/>
          <w:lang w:val="uk-UA"/>
        </w:rPr>
        <w:t xml:space="preserve">Прохорова Н.А., Мороз С.С. Правові аспекти припинення підприємницької діяльності. </w:t>
      </w:r>
      <w:r w:rsidRPr="004D44F7">
        <w:rPr>
          <w:rFonts w:ascii="Times New Roman" w:hAnsi="Times New Roman"/>
          <w:i/>
          <w:sz w:val="28"/>
          <w:szCs w:val="28"/>
          <w:lang w:val="uk-UA"/>
        </w:rPr>
        <w:t>Матеріали І Міжнародної науково-практичної конференції «Актуальні питання права та соціально-економічних відносин»</w:t>
      </w:r>
      <w:r w:rsidRPr="004D44F7">
        <w:rPr>
          <w:rFonts w:ascii="Times New Roman" w:hAnsi="Times New Roman"/>
          <w:sz w:val="28"/>
          <w:szCs w:val="28"/>
          <w:lang w:val="uk-UA"/>
        </w:rPr>
        <w:t>. 2018. с. 54 – 56.</w:t>
      </w:r>
    </w:p>
    <w:p w14:paraId="31B5C5BA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2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7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Сіщук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Л.В. Реорганізація юридичних осіб: теоретико-правові аспекти.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Приватне право і підприємництво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2015.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14. с. 32 – 36.</w:t>
      </w:r>
    </w:p>
    <w:p w14:paraId="256F4EFB" w14:textId="77777777" w:rsidR="00747BA7" w:rsidRPr="004D44F7" w:rsidRDefault="00747BA7" w:rsidP="009A10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2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8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Стрільчук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В., Іванюк Н. Удосконалення законодавства у сфері припинення діяльності суб’єкта господарювання, яке не пов’язане з його банкрутством.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Підприємництво, господарство і право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2016. № 5. с. 31 – 36.</w:t>
      </w:r>
    </w:p>
    <w:p w14:paraId="3A35C7EE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>29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Тюленєва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Ю.В. Нормативно-правова база регулювання процесів злиття та поглинання підприємств України.</w:t>
      </w:r>
      <w:r w:rsidRPr="004D44F7">
        <w:rPr>
          <w:lang w:val="uk-UA"/>
        </w:rPr>
        <w:t xml:space="preserve"> </w:t>
      </w:r>
      <w:proofErr w:type="spellStart"/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БізнесФорум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2013. № 9. с. 49 – 54.</w:t>
      </w:r>
    </w:p>
    <w:p w14:paraId="3C43B9A5" w14:textId="77777777" w:rsidR="00747BA7" w:rsidRPr="004D44F7" w:rsidRDefault="00747BA7" w:rsidP="00C346E4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3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0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Фесюра</w:t>
      </w:r>
      <w:proofErr w:type="spellEnd"/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М. Ліквідація, реорганізація, банкрутство підприємства, установи, організації в сучасний період: поняття та юридична сутність. 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>Публічне право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2013. № 1 (9). с. 310 – 317.</w:t>
      </w:r>
    </w:p>
    <w:p w14:paraId="0D35D406" w14:textId="77777777" w:rsidR="00747BA7" w:rsidRPr="004D44F7" w:rsidRDefault="00747BA7" w:rsidP="001D0353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3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1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Шинкар М. Правова природа банкрутства (неплатоспроможності) банківських установ: доктринальні підходи.</w:t>
      </w:r>
      <w:r w:rsidRPr="004D44F7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 Підприємництво, господарство і право</w:t>
      </w:r>
      <w:r w:rsidRPr="004D44F7">
        <w:rPr>
          <w:rStyle w:val="fontstyle01"/>
          <w:rFonts w:ascii="Times New Roman" w:hAnsi="Times New Roman"/>
          <w:sz w:val="28"/>
          <w:szCs w:val="28"/>
          <w:lang w:val="uk-UA"/>
        </w:rPr>
        <w:t>. 2017. № 5. С. 63 – 67.</w:t>
      </w:r>
    </w:p>
    <w:p w14:paraId="65139EED" w14:textId="77777777" w:rsidR="00747BA7" w:rsidRPr="004D44F7" w:rsidRDefault="00747BA7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</w:p>
    <w:sectPr w:rsidR="00747BA7" w:rsidRPr="004D44F7" w:rsidSect="004E02E6">
      <w:headerReference w:type="default" r:id="rId9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8AF" w14:textId="77777777" w:rsidR="002E2A68" w:rsidRDefault="002E2A68" w:rsidP="004E02E6">
      <w:pPr>
        <w:spacing w:after="0" w:line="240" w:lineRule="auto"/>
      </w:pPr>
      <w:r>
        <w:separator/>
      </w:r>
    </w:p>
  </w:endnote>
  <w:endnote w:type="continuationSeparator" w:id="0">
    <w:p w14:paraId="7E137F2B" w14:textId="77777777" w:rsidR="002E2A68" w:rsidRDefault="002E2A68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3B7D" w14:textId="77777777" w:rsidR="002E2A68" w:rsidRDefault="002E2A68" w:rsidP="004E02E6">
      <w:pPr>
        <w:spacing w:after="0" w:line="240" w:lineRule="auto"/>
      </w:pPr>
      <w:r>
        <w:separator/>
      </w:r>
    </w:p>
  </w:footnote>
  <w:footnote w:type="continuationSeparator" w:id="0">
    <w:p w14:paraId="375EA0BF" w14:textId="77777777" w:rsidR="002E2A68" w:rsidRDefault="002E2A68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5771" w14:textId="77777777" w:rsidR="00747BA7" w:rsidRDefault="002E2A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7BA7">
      <w:rPr>
        <w:noProof/>
      </w:rPr>
      <w:t>2</w:t>
    </w:r>
    <w:r>
      <w:rPr>
        <w:noProof/>
      </w:rPr>
      <w:fldChar w:fldCharType="end"/>
    </w:r>
  </w:p>
  <w:p w14:paraId="335D6025" w14:textId="77777777" w:rsidR="00747BA7" w:rsidRDefault="00747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413C61"/>
    <w:multiLevelType w:val="hybridMultilevel"/>
    <w:tmpl w:val="40A8F5B6"/>
    <w:lvl w:ilvl="0" w:tplc="DD3A74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EE69E3"/>
    <w:multiLevelType w:val="multilevel"/>
    <w:tmpl w:val="D0363FA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5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15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3687" w:hanging="15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5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5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3AAF01C6"/>
    <w:multiLevelType w:val="multilevel"/>
    <w:tmpl w:val="CA2EE18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4A36A81"/>
    <w:multiLevelType w:val="hybridMultilevel"/>
    <w:tmpl w:val="A0C426CE"/>
    <w:lvl w:ilvl="0" w:tplc="6F464F24">
      <w:start w:val="3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01F242B"/>
    <w:multiLevelType w:val="hybridMultilevel"/>
    <w:tmpl w:val="E9DC5570"/>
    <w:lvl w:ilvl="0" w:tplc="83F85F6A">
      <w:start w:val="4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F1D4885"/>
    <w:multiLevelType w:val="hybridMultilevel"/>
    <w:tmpl w:val="E21A890C"/>
    <w:lvl w:ilvl="0" w:tplc="4E707FCA">
      <w:start w:val="10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34BB"/>
    <w:rsid w:val="00007763"/>
    <w:rsid w:val="00011416"/>
    <w:rsid w:val="000221AD"/>
    <w:rsid w:val="0002655F"/>
    <w:rsid w:val="000276D0"/>
    <w:rsid w:val="00045E35"/>
    <w:rsid w:val="00066C04"/>
    <w:rsid w:val="00070BCE"/>
    <w:rsid w:val="000717AA"/>
    <w:rsid w:val="00074ACD"/>
    <w:rsid w:val="000966A3"/>
    <w:rsid w:val="000B42DB"/>
    <w:rsid w:val="000B4489"/>
    <w:rsid w:val="000B6B01"/>
    <w:rsid w:val="000B76A6"/>
    <w:rsid w:val="000C0CD3"/>
    <w:rsid w:val="000D0BF4"/>
    <w:rsid w:val="000D375F"/>
    <w:rsid w:val="000D58CE"/>
    <w:rsid w:val="000F2AC2"/>
    <w:rsid w:val="000F79FD"/>
    <w:rsid w:val="00106690"/>
    <w:rsid w:val="00120DFE"/>
    <w:rsid w:val="00125133"/>
    <w:rsid w:val="00131CB3"/>
    <w:rsid w:val="00135CAA"/>
    <w:rsid w:val="00140BAB"/>
    <w:rsid w:val="001527FE"/>
    <w:rsid w:val="001566D7"/>
    <w:rsid w:val="00166623"/>
    <w:rsid w:val="001731E0"/>
    <w:rsid w:val="001743C7"/>
    <w:rsid w:val="00176308"/>
    <w:rsid w:val="00183330"/>
    <w:rsid w:val="001866B8"/>
    <w:rsid w:val="00191EB0"/>
    <w:rsid w:val="00192176"/>
    <w:rsid w:val="001A4BBA"/>
    <w:rsid w:val="001D0353"/>
    <w:rsid w:val="001E5D1F"/>
    <w:rsid w:val="001E7FF7"/>
    <w:rsid w:val="002229B1"/>
    <w:rsid w:val="002301D7"/>
    <w:rsid w:val="002345AC"/>
    <w:rsid w:val="00235CE8"/>
    <w:rsid w:val="00240828"/>
    <w:rsid w:val="00255678"/>
    <w:rsid w:val="002623BB"/>
    <w:rsid w:val="002655A4"/>
    <w:rsid w:val="002800B3"/>
    <w:rsid w:val="002873FA"/>
    <w:rsid w:val="0029134A"/>
    <w:rsid w:val="00295966"/>
    <w:rsid w:val="0029610A"/>
    <w:rsid w:val="002A01A7"/>
    <w:rsid w:val="002A515D"/>
    <w:rsid w:val="002A5B36"/>
    <w:rsid w:val="002B0923"/>
    <w:rsid w:val="002D3B74"/>
    <w:rsid w:val="002E1656"/>
    <w:rsid w:val="002E2A68"/>
    <w:rsid w:val="002F37F8"/>
    <w:rsid w:val="00300DBE"/>
    <w:rsid w:val="00302AB8"/>
    <w:rsid w:val="003030F5"/>
    <w:rsid w:val="00304054"/>
    <w:rsid w:val="003108FF"/>
    <w:rsid w:val="003132E8"/>
    <w:rsid w:val="00314C40"/>
    <w:rsid w:val="003257F5"/>
    <w:rsid w:val="003363B9"/>
    <w:rsid w:val="0034103B"/>
    <w:rsid w:val="003446F4"/>
    <w:rsid w:val="0035026F"/>
    <w:rsid w:val="003611EF"/>
    <w:rsid w:val="00361EA7"/>
    <w:rsid w:val="00364212"/>
    <w:rsid w:val="003819A9"/>
    <w:rsid w:val="00393146"/>
    <w:rsid w:val="003B4C37"/>
    <w:rsid w:val="003B7F43"/>
    <w:rsid w:val="003C3325"/>
    <w:rsid w:val="003C3574"/>
    <w:rsid w:val="00412A51"/>
    <w:rsid w:val="004133FA"/>
    <w:rsid w:val="00427421"/>
    <w:rsid w:val="004333AE"/>
    <w:rsid w:val="00434788"/>
    <w:rsid w:val="0045274E"/>
    <w:rsid w:val="00465709"/>
    <w:rsid w:val="00474CCA"/>
    <w:rsid w:val="004757FB"/>
    <w:rsid w:val="00477FEA"/>
    <w:rsid w:val="0048230A"/>
    <w:rsid w:val="00493391"/>
    <w:rsid w:val="004B4C9F"/>
    <w:rsid w:val="004B4D91"/>
    <w:rsid w:val="004C4021"/>
    <w:rsid w:val="004C449D"/>
    <w:rsid w:val="004D44F7"/>
    <w:rsid w:val="004D5C85"/>
    <w:rsid w:val="004E02E6"/>
    <w:rsid w:val="004E2033"/>
    <w:rsid w:val="004F2DB5"/>
    <w:rsid w:val="004F38B0"/>
    <w:rsid w:val="005022AD"/>
    <w:rsid w:val="00511046"/>
    <w:rsid w:val="00515E13"/>
    <w:rsid w:val="005238E1"/>
    <w:rsid w:val="00525466"/>
    <w:rsid w:val="005322B7"/>
    <w:rsid w:val="00533E61"/>
    <w:rsid w:val="00536972"/>
    <w:rsid w:val="005445D7"/>
    <w:rsid w:val="005452DF"/>
    <w:rsid w:val="005516E3"/>
    <w:rsid w:val="00551F6D"/>
    <w:rsid w:val="005550BC"/>
    <w:rsid w:val="005765DE"/>
    <w:rsid w:val="00577839"/>
    <w:rsid w:val="005A34F2"/>
    <w:rsid w:val="005A39B0"/>
    <w:rsid w:val="005A6C16"/>
    <w:rsid w:val="005C05EA"/>
    <w:rsid w:val="005C43E0"/>
    <w:rsid w:val="005C5B12"/>
    <w:rsid w:val="005C62E8"/>
    <w:rsid w:val="005C7B85"/>
    <w:rsid w:val="005F256A"/>
    <w:rsid w:val="005F36A5"/>
    <w:rsid w:val="0060069B"/>
    <w:rsid w:val="006152C5"/>
    <w:rsid w:val="00636924"/>
    <w:rsid w:val="00637BB1"/>
    <w:rsid w:val="006538FD"/>
    <w:rsid w:val="00654009"/>
    <w:rsid w:val="00657287"/>
    <w:rsid w:val="0066473E"/>
    <w:rsid w:val="006727EC"/>
    <w:rsid w:val="00674CB4"/>
    <w:rsid w:val="00677631"/>
    <w:rsid w:val="00681051"/>
    <w:rsid w:val="006A31A9"/>
    <w:rsid w:val="006B172B"/>
    <w:rsid w:val="006D1612"/>
    <w:rsid w:val="006D2F45"/>
    <w:rsid w:val="006D40CE"/>
    <w:rsid w:val="006E604F"/>
    <w:rsid w:val="006F24B9"/>
    <w:rsid w:val="006F3949"/>
    <w:rsid w:val="007037BB"/>
    <w:rsid w:val="007178BA"/>
    <w:rsid w:val="00731217"/>
    <w:rsid w:val="00736C30"/>
    <w:rsid w:val="007423CC"/>
    <w:rsid w:val="00743156"/>
    <w:rsid w:val="00747BA7"/>
    <w:rsid w:val="00753207"/>
    <w:rsid w:val="00756E1B"/>
    <w:rsid w:val="00760760"/>
    <w:rsid w:val="0077432D"/>
    <w:rsid w:val="00791023"/>
    <w:rsid w:val="007A047A"/>
    <w:rsid w:val="007C1781"/>
    <w:rsid w:val="007C1C55"/>
    <w:rsid w:val="007D08E6"/>
    <w:rsid w:val="007D5FDE"/>
    <w:rsid w:val="007E52AE"/>
    <w:rsid w:val="007F103C"/>
    <w:rsid w:val="00802FE1"/>
    <w:rsid w:val="008306F1"/>
    <w:rsid w:val="00832AC8"/>
    <w:rsid w:val="00833180"/>
    <w:rsid w:val="00844B7C"/>
    <w:rsid w:val="00847BDF"/>
    <w:rsid w:val="00857CDC"/>
    <w:rsid w:val="00870C9F"/>
    <w:rsid w:val="008805CD"/>
    <w:rsid w:val="008D1527"/>
    <w:rsid w:val="008D2225"/>
    <w:rsid w:val="008D5825"/>
    <w:rsid w:val="008F0113"/>
    <w:rsid w:val="008F76D8"/>
    <w:rsid w:val="0090365C"/>
    <w:rsid w:val="009047DA"/>
    <w:rsid w:val="0090768D"/>
    <w:rsid w:val="00917843"/>
    <w:rsid w:val="00924CD8"/>
    <w:rsid w:val="00942661"/>
    <w:rsid w:val="009513F7"/>
    <w:rsid w:val="00955820"/>
    <w:rsid w:val="009559F8"/>
    <w:rsid w:val="009607B9"/>
    <w:rsid w:val="00965CA5"/>
    <w:rsid w:val="00973002"/>
    <w:rsid w:val="00976632"/>
    <w:rsid w:val="009939A2"/>
    <w:rsid w:val="009A0C21"/>
    <w:rsid w:val="009A10F5"/>
    <w:rsid w:val="009B58AF"/>
    <w:rsid w:val="009C0A68"/>
    <w:rsid w:val="009C201F"/>
    <w:rsid w:val="009D6604"/>
    <w:rsid w:val="009D69CB"/>
    <w:rsid w:val="009F1DB2"/>
    <w:rsid w:val="00A01C73"/>
    <w:rsid w:val="00A07B1C"/>
    <w:rsid w:val="00A15574"/>
    <w:rsid w:val="00A17658"/>
    <w:rsid w:val="00A3028D"/>
    <w:rsid w:val="00A37332"/>
    <w:rsid w:val="00A4173A"/>
    <w:rsid w:val="00A47EA4"/>
    <w:rsid w:val="00A5158D"/>
    <w:rsid w:val="00A54AEA"/>
    <w:rsid w:val="00A5738C"/>
    <w:rsid w:val="00A6524B"/>
    <w:rsid w:val="00A75D35"/>
    <w:rsid w:val="00A94AF6"/>
    <w:rsid w:val="00AB2C47"/>
    <w:rsid w:val="00AB3DF7"/>
    <w:rsid w:val="00AB6173"/>
    <w:rsid w:val="00AD7F92"/>
    <w:rsid w:val="00AF149F"/>
    <w:rsid w:val="00AF4925"/>
    <w:rsid w:val="00B00AD6"/>
    <w:rsid w:val="00B06D42"/>
    <w:rsid w:val="00B14E9B"/>
    <w:rsid w:val="00B23212"/>
    <w:rsid w:val="00B33B71"/>
    <w:rsid w:val="00B3604F"/>
    <w:rsid w:val="00B41640"/>
    <w:rsid w:val="00B4257E"/>
    <w:rsid w:val="00B45A20"/>
    <w:rsid w:val="00B66E7C"/>
    <w:rsid w:val="00B825C8"/>
    <w:rsid w:val="00B966F4"/>
    <w:rsid w:val="00BB751F"/>
    <w:rsid w:val="00BC10B9"/>
    <w:rsid w:val="00BC5C36"/>
    <w:rsid w:val="00BD53CB"/>
    <w:rsid w:val="00BD6F18"/>
    <w:rsid w:val="00BE5934"/>
    <w:rsid w:val="00C042C9"/>
    <w:rsid w:val="00C23666"/>
    <w:rsid w:val="00C31479"/>
    <w:rsid w:val="00C346E4"/>
    <w:rsid w:val="00C35F0C"/>
    <w:rsid w:val="00C56253"/>
    <w:rsid w:val="00C77974"/>
    <w:rsid w:val="00C84E7F"/>
    <w:rsid w:val="00C9182F"/>
    <w:rsid w:val="00C95472"/>
    <w:rsid w:val="00CA153D"/>
    <w:rsid w:val="00CA4A85"/>
    <w:rsid w:val="00CB4BA8"/>
    <w:rsid w:val="00CD6FF7"/>
    <w:rsid w:val="00CE1B0C"/>
    <w:rsid w:val="00CE5985"/>
    <w:rsid w:val="00CF0925"/>
    <w:rsid w:val="00CF69D3"/>
    <w:rsid w:val="00D059B0"/>
    <w:rsid w:val="00D07C08"/>
    <w:rsid w:val="00D110EB"/>
    <w:rsid w:val="00D2023E"/>
    <w:rsid w:val="00D23A51"/>
    <w:rsid w:val="00D25849"/>
    <w:rsid w:val="00D32A0A"/>
    <w:rsid w:val="00D3733E"/>
    <w:rsid w:val="00D53821"/>
    <w:rsid w:val="00D57001"/>
    <w:rsid w:val="00D61CC3"/>
    <w:rsid w:val="00D800C2"/>
    <w:rsid w:val="00D90854"/>
    <w:rsid w:val="00D9274E"/>
    <w:rsid w:val="00D92771"/>
    <w:rsid w:val="00D933E0"/>
    <w:rsid w:val="00DA7820"/>
    <w:rsid w:val="00DC0316"/>
    <w:rsid w:val="00DC07DF"/>
    <w:rsid w:val="00DC71F5"/>
    <w:rsid w:val="00DD5B82"/>
    <w:rsid w:val="00DF16F4"/>
    <w:rsid w:val="00DF7B2D"/>
    <w:rsid w:val="00E0284F"/>
    <w:rsid w:val="00E1382F"/>
    <w:rsid w:val="00E24E8A"/>
    <w:rsid w:val="00E252BE"/>
    <w:rsid w:val="00E34225"/>
    <w:rsid w:val="00E3474D"/>
    <w:rsid w:val="00E605D5"/>
    <w:rsid w:val="00E626A0"/>
    <w:rsid w:val="00E62A28"/>
    <w:rsid w:val="00E66BC9"/>
    <w:rsid w:val="00E82E06"/>
    <w:rsid w:val="00EA0F07"/>
    <w:rsid w:val="00EA189E"/>
    <w:rsid w:val="00EA2FA3"/>
    <w:rsid w:val="00EC036C"/>
    <w:rsid w:val="00ED187E"/>
    <w:rsid w:val="00ED41FF"/>
    <w:rsid w:val="00EE1AD7"/>
    <w:rsid w:val="00EE3AFC"/>
    <w:rsid w:val="00EF1444"/>
    <w:rsid w:val="00F10F46"/>
    <w:rsid w:val="00F14BF8"/>
    <w:rsid w:val="00F32DAF"/>
    <w:rsid w:val="00F3394E"/>
    <w:rsid w:val="00F35640"/>
    <w:rsid w:val="00F548F1"/>
    <w:rsid w:val="00F621CD"/>
    <w:rsid w:val="00F86495"/>
    <w:rsid w:val="00F90AD3"/>
    <w:rsid w:val="00FA225A"/>
    <w:rsid w:val="00FA2FD4"/>
    <w:rsid w:val="00FC3B4F"/>
    <w:rsid w:val="00FC40E4"/>
    <w:rsid w:val="00FC5450"/>
    <w:rsid w:val="00FD322C"/>
    <w:rsid w:val="00FD6684"/>
    <w:rsid w:val="00FD6D9A"/>
    <w:rsid w:val="00FF219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98764"/>
  <w15:docId w15:val="{80660B54-E7BE-4EE6-937E-90C93D8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74"/>
    <w:pPr>
      <w:spacing w:after="200" w:line="276" w:lineRule="auto"/>
    </w:pPr>
    <w:rPr>
      <w:lang w:val="ru-RU" w:eastAsia="en-US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1D0353"/>
    <w:pPr>
      <w:autoSpaceDE w:val="0"/>
      <w:autoSpaceDN w:val="0"/>
      <w:adjustRightInd w:val="0"/>
    </w:pPr>
    <w:rPr>
      <w:rFonts w:ascii="UkrainianJournal" w:hAnsi="UkrainianJournal" w:cs="UkrainianJournal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D0353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1D0353"/>
    <w:pPr>
      <w:spacing w:line="221" w:lineRule="atLeast"/>
    </w:pPr>
    <w:rPr>
      <w:rFonts w:ascii="Times New Roman" w:hAnsi="Times New Roman" w:cs="Times New Roman"/>
      <w:color w:val="auto"/>
    </w:rPr>
  </w:style>
  <w:style w:type="character" w:styleId="ac">
    <w:name w:val="Emphasis"/>
    <w:basedOn w:val="a0"/>
    <w:uiPriority w:val="99"/>
    <w:qFormat/>
    <w:locked/>
    <w:rsid w:val="002B0923"/>
    <w:rPr>
      <w:rFonts w:cs="Times New Roman"/>
      <w:i/>
      <w:iCs/>
    </w:rPr>
  </w:style>
  <w:style w:type="paragraph" w:customStyle="1" w:styleId="Pa24">
    <w:name w:val="Pa24"/>
    <w:basedOn w:val="Default"/>
    <w:next w:val="Default"/>
    <w:uiPriority w:val="99"/>
    <w:rsid w:val="00D3733E"/>
    <w:pPr>
      <w:spacing w:line="191" w:lineRule="atLeast"/>
    </w:pPr>
    <w:rPr>
      <w:rFonts w:ascii="Times New Roman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CA4A85"/>
    <w:pPr>
      <w:spacing w:line="20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E24E8A"/>
    <w:rPr>
      <w:color w:val="000000"/>
      <w:sz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onua.edu.ua/bitstream/handle/11300/10663/19_%D0%9A%D1%80%D0%B8%D0%B2%D0%BE%D1%80%D1%83%D1%87%D0%B5%D0%BD%D0%BA%D0%BE_431-434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ia.zp.ua/gazeta/evzdia_4_0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Ruslan</dc:creator>
  <cp:keywords/>
  <dc:description/>
  <cp:lastModifiedBy>Оксана Смолярчук</cp:lastModifiedBy>
  <cp:revision>3</cp:revision>
  <dcterms:created xsi:type="dcterms:W3CDTF">2019-07-11T15:42:00Z</dcterms:created>
  <dcterms:modified xsi:type="dcterms:W3CDTF">2019-07-11T15:43:00Z</dcterms:modified>
</cp:coreProperties>
</file>