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DA7E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14:paraId="1EA00FA2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847711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…………………………………………………………………………….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DD8B060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 xml:space="preserve">РОЗДІЛ 1. ПІДСТАВИ ПРОНИКНЕННЯ ДО </w:t>
      </w:r>
      <w:r w:rsidRPr="00653D2F">
        <w:rPr>
          <w:rFonts w:ascii="Times New Roman" w:hAnsi="Times New Roman" w:cs="Times New Roman"/>
          <w:sz w:val="28"/>
          <w:szCs w:val="28"/>
        </w:rPr>
        <w:t>ЖИТЛА ТА ІНШОГО ВОЛОДІННЯ ОСОБИ: ЗАГАЛЬНОТЕОРЕТИЧНИЙ АНАЛІЗ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……………..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CF32D9D" w14:textId="77777777" w:rsidR="00653D2F" w:rsidRPr="00653D2F" w:rsidRDefault="00653D2F" w:rsidP="00653D2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Принцип недоторканності житла чи іншого володіння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829B899" w14:textId="77777777" w:rsidR="00653D2F" w:rsidRPr="00653D2F" w:rsidRDefault="00653D2F" w:rsidP="00653D2F">
      <w:pPr>
        <w:pStyle w:val="a3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Загальна характеристика підстав проникнення до житла чи іншого володіння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………………………………………………………….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739BBA3E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 xml:space="preserve">РОЗДІЛ 2. ПРАВОВЕ РЕГУЛЮВАННЯ ПРОНИКНЕННЯ ДО </w:t>
      </w:r>
      <w:r w:rsidRPr="00653D2F">
        <w:rPr>
          <w:rFonts w:ascii="Times New Roman" w:hAnsi="Times New Roman" w:cs="Times New Roman"/>
          <w:sz w:val="28"/>
          <w:szCs w:val="28"/>
        </w:rPr>
        <w:t>ЖИТЛА ТА ІНШОГО ВОЛОДІННЯ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………………………………………………..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3844D5AF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2.1. Проникнення до житла чи іншого володіння особи за рішенням суду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11492E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43C66979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2.2. Проникнення до житла чи іншого володіння особи без ріш</w:t>
      </w:r>
      <w:r>
        <w:rPr>
          <w:rFonts w:ascii="Times New Roman" w:hAnsi="Times New Roman" w:cs="Times New Roman"/>
          <w:sz w:val="28"/>
          <w:szCs w:val="28"/>
          <w:lang w:val="uk-UA"/>
        </w:rPr>
        <w:t>ення суду як превентивний захід……………………………………………………………….</w:t>
      </w:r>
    </w:p>
    <w:p w14:paraId="2DC92B10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2.3. Судовий контроль за проведенням у невідкладних випадках обшуку житла чи іншого володіння особи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…………………………………………….</w:t>
      </w:r>
      <w:r w:rsidR="008530CB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14:paraId="1985D211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sz w:val="28"/>
          <w:szCs w:val="28"/>
          <w:lang w:val="uk-UA"/>
        </w:rPr>
        <w:t>ВИСНОВКИ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8530CB">
        <w:rPr>
          <w:rFonts w:ascii="Times New Roman" w:hAnsi="Times New Roman" w:cs="Times New Roman"/>
          <w:sz w:val="28"/>
          <w:szCs w:val="28"/>
          <w:lang w:val="uk-UA"/>
        </w:rPr>
        <w:t>33</w:t>
      </w:r>
    </w:p>
    <w:p w14:paraId="3DD89411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ДЖЕРЕЛ………………………………………</w:t>
      </w:r>
      <w:r w:rsidR="008530CB">
        <w:rPr>
          <w:rFonts w:ascii="Times New Roman" w:hAnsi="Times New Roman" w:cs="Times New Roman"/>
          <w:sz w:val="28"/>
          <w:szCs w:val="28"/>
          <w:lang w:val="uk-UA"/>
        </w:rPr>
        <w:t>36</w:t>
      </w:r>
    </w:p>
    <w:p w14:paraId="38B52B5D" w14:textId="77777777" w:rsidR="00653D2F" w:rsidRDefault="00653D2F" w:rsidP="00653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4D6ACD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06F00C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33D155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F25C9A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D77F07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30E56B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5DE0459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59B94D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269930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CF9497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8429A4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ВСТУП </w:t>
      </w:r>
    </w:p>
    <w:p w14:paraId="143E48AE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76F55B" w14:textId="260C0726" w:rsidR="00A2685A" w:rsidRPr="00A2685A" w:rsidRDefault="00886419" w:rsidP="00886419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5E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теми дослідження. </w:t>
      </w:r>
      <w:r w:rsidRPr="00A2685A">
        <w:rPr>
          <w:rFonts w:ascii="Times New Roman" w:hAnsi="Times New Roman" w:cs="Times New Roman"/>
          <w:sz w:val="28"/>
          <w:szCs w:val="28"/>
          <w:lang w:val="uk-UA"/>
        </w:rPr>
        <w:t>В умовах розвитку державності України як демократичної європейської країни, ключове місце належить формуванню правової системи, в якій одним з основних елементів є права людини з позицій як внутрішньодержавного, так і загальносвітового значення. Міжнародно-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2AF7C19" w14:textId="571E066F" w:rsidR="00A2685A" w:rsidRDefault="00886419" w:rsidP="00886419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Стан наукової розробки.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Варто зазначити, що </w:t>
      </w:r>
      <w:r w:rsidR="00A268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питання проникнення до житла чи іншого володіння особи є </w:t>
      </w:r>
      <w:r w:rsidR="004432BE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3138B555" w14:textId="29FCA656" w:rsidR="00886419" w:rsidRPr="00A9497F" w:rsidRDefault="00886419" w:rsidP="00886419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Мета і завдання курсової роботи.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Метою </w:t>
      </w:r>
      <w:r w:rsidR="004432BE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67914715" w14:textId="77777777" w:rsidR="00A2685A" w:rsidRDefault="00886419" w:rsidP="00A2685A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>Досягнення зазначеної мети здійснюється шляхом вирішення наступних завдань:</w:t>
      </w:r>
    </w:p>
    <w:p w14:paraId="09B74532" w14:textId="2EF7989A" w:rsidR="00A2685A" w:rsidRPr="00A2685A" w:rsidRDefault="004432BE" w:rsidP="00A2685A">
      <w:pPr>
        <w:numPr>
          <w:ilvl w:val="0"/>
          <w:numId w:val="7"/>
        </w:numPr>
        <w:tabs>
          <w:tab w:val="clear" w:pos="720"/>
          <w:tab w:val="num" w:pos="0"/>
          <w:tab w:val="left" w:pos="426"/>
          <w:tab w:val="left" w:pos="709"/>
          <w:tab w:val="left" w:pos="1134"/>
          <w:tab w:val="left" w:pos="1560"/>
          <w:tab w:val="left" w:pos="2964"/>
          <w:tab w:val="center" w:pos="484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….</w:t>
      </w:r>
    </w:p>
    <w:p w14:paraId="56E656DF" w14:textId="26B67ECF" w:rsidR="00886419" w:rsidRDefault="00886419" w:rsidP="00A2685A">
      <w:pPr>
        <w:tabs>
          <w:tab w:val="left" w:pos="426"/>
          <w:tab w:val="left" w:pos="1134"/>
          <w:tab w:val="left" w:pos="1560"/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Об’єктом дослідження курсової роботи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4432BE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  <w:proofErr w:type="spellStart"/>
      <w:r w:rsidR="00A2685A" w:rsidRPr="00A2685A">
        <w:rPr>
          <w:rFonts w:ascii="Times New Roman" w:hAnsi="Times New Roman" w:cs="Times New Roman"/>
          <w:sz w:val="28"/>
          <w:szCs w:val="28"/>
          <w:lang w:val="uk-UA"/>
        </w:rPr>
        <w:t>лодіння</w:t>
      </w:r>
      <w:proofErr w:type="spellEnd"/>
      <w:r w:rsidR="00A2685A" w:rsidRPr="00A2685A">
        <w:rPr>
          <w:rFonts w:ascii="Times New Roman" w:hAnsi="Times New Roman" w:cs="Times New Roman"/>
          <w:sz w:val="28"/>
          <w:szCs w:val="28"/>
          <w:lang w:val="uk-UA"/>
        </w:rPr>
        <w:t xml:space="preserve"> особи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</w:p>
    <w:p w14:paraId="5D9F7C55" w14:textId="1BFD528F" w:rsidR="00886419" w:rsidRPr="00A9497F" w:rsidRDefault="00886419" w:rsidP="00886419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Предметом вивчення у курсовій роботі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кримінальний процесуальний кодекс України, </w:t>
      </w:r>
      <w:r w:rsidR="00184C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норми </w:t>
      </w:r>
      <w:r w:rsidR="004432BE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4A71A21E" w14:textId="77777777" w:rsidR="00886419" w:rsidRPr="00A9497F" w:rsidRDefault="00886419" w:rsidP="00886419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Структура курсової роботи.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Дана курсова робота складається з вступу, </w:t>
      </w:r>
      <w:r w:rsidR="00184C4B">
        <w:rPr>
          <w:rFonts w:ascii="Times New Roman" w:eastAsia="Times New Roman" w:hAnsi="Times New Roman"/>
          <w:sz w:val="28"/>
          <w:szCs w:val="28"/>
          <w:lang w:val="uk-UA" w:eastAsia="ru-RU"/>
        </w:rPr>
        <w:t>двох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озділів, </w:t>
      </w:r>
      <w:r w:rsidR="00184C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п’яти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підрозділів,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>висновків, списку використан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их джерел. </w:t>
      </w:r>
    </w:p>
    <w:p w14:paraId="04653F8E" w14:textId="77777777" w:rsidR="00886419" w:rsidRPr="00A9497F" w:rsidRDefault="00886419" w:rsidP="00886419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B43D838" w14:textId="77777777" w:rsidR="00886419" w:rsidRPr="00236C95" w:rsidRDefault="00886419" w:rsidP="00886419">
      <w:pPr>
        <w:pStyle w:val="PreformattedText"/>
        <w:rPr>
          <w:lang w:val="uk-UA"/>
        </w:rPr>
      </w:pPr>
    </w:p>
    <w:p w14:paraId="34CAA793" w14:textId="77777777" w:rsidR="00886419" w:rsidRPr="00236C95" w:rsidRDefault="00886419" w:rsidP="00886419">
      <w:pPr>
        <w:pStyle w:val="PreformattedText"/>
        <w:rPr>
          <w:lang w:val="ru-RU"/>
        </w:rPr>
      </w:pPr>
    </w:p>
    <w:p w14:paraId="5D8B73F7" w14:textId="77777777" w:rsidR="00886419" w:rsidRPr="00236C95" w:rsidRDefault="00886419" w:rsidP="00886419">
      <w:pPr>
        <w:pStyle w:val="PreformattedText"/>
        <w:rPr>
          <w:lang w:val="ru-RU"/>
        </w:rPr>
      </w:pPr>
    </w:p>
    <w:p w14:paraId="49ECA219" w14:textId="77777777" w:rsidR="00653D2F" w:rsidRPr="00886419" w:rsidRDefault="00653D2F" w:rsidP="00653D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36AFB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FBE71E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E2BC3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41A4B8" w14:textId="77777777" w:rsidR="00653D2F" w:rsidRDefault="00653D2F" w:rsidP="0014082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58FF43" w14:textId="77777777" w:rsidR="00653D2F" w:rsidRPr="00653D2F" w:rsidRDefault="0014082A" w:rsidP="00653D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653D2F" w:rsidRPr="00653D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ПІДСТАВИ ПРОНИКНЕННЯ ДО </w:t>
      </w:r>
      <w:r w:rsidR="00653D2F" w:rsidRPr="00653D2F">
        <w:rPr>
          <w:rFonts w:ascii="Times New Roman" w:hAnsi="Times New Roman" w:cs="Times New Roman"/>
          <w:b/>
          <w:sz w:val="28"/>
          <w:szCs w:val="28"/>
        </w:rPr>
        <w:t>ЖИТЛА ТА ІНШОГО ВОЛОДІННЯ ОСОБИ: ЗАГАЛЬНОТЕОРЕТИЧНИЙ АНАЛІЗ</w:t>
      </w:r>
    </w:p>
    <w:p w14:paraId="27456DB5" w14:textId="77777777" w:rsidR="00653D2F" w:rsidRPr="00653D2F" w:rsidRDefault="00653D2F" w:rsidP="00653D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8E6D5B" w14:textId="77777777" w:rsidR="0014082A" w:rsidRPr="00653D2F" w:rsidRDefault="00653D2F" w:rsidP="00653D2F">
      <w:pPr>
        <w:pStyle w:val="a3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53D2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Принцип недоторканності житла чи іншого володіння особи</w:t>
      </w:r>
    </w:p>
    <w:p w14:paraId="4C06032A" w14:textId="77777777" w:rsidR="0014082A" w:rsidRDefault="0014082A" w:rsidP="0014082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B44A8F" w14:textId="77777777" w:rsidR="00184C4B" w:rsidRDefault="0014082A" w:rsidP="001408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2A">
        <w:rPr>
          <w:rFonts w:ascii="Times New Roman" w:hAnsi="Times New Roman" w:cs="Times New Roman"/>
          <w:sz w:val="28"/>
          <w:szCs w:val="28"/>
          <w:lang w:val="uk-UA"/>
        </w:rPr>
        <w:t xml:space="preserve">Принципи кримінального процесу – це закріплені в законі основоположні ідеї, засади, найбільш загальні положення, що визначають сутність, зміст і спрямованість діяльності суб’єктів процесу, спосіб і процесуальну форму їх діяльності та здійснення правосуддя, створюють систему гарантій встановлення істини, захисту прав і свобод людини та забезпечення справедливості правосуддя, засади від яких не відступають, а їх порушення тягне за собою скасування </w:t>
      </w:r>
      <w:proofErr w:type="spellStart"/>
      <w:r w:rsidRPr="0014082A">
        <w:rPr>
          <w:rFonts w:ascii="Times New Roman" w:hAnsi="Times New Roman" w:cs="Times New Roman"/>
          <w:sz w:val="28"/>
          <w:szCs w:val="28"/>
          <w:lang w:val="uk-UA"/>
        </w:rPr>
        <w:t>вироку</w:t>
      </w:r>
      <w:proofErr w:type="spellEnd"/>
      <w:r w:rsidRPr="0014082A">
        <w:rPr>
          <w:rFonts w:ascii="Times New Roman" w:hAnsi="Times New Roman" w:cs="Times New Roman"/>
          <w:sz w:val="28"/>
          <w:szCs w:val="28"/>
          <w:lang w:val="uk-UA"/>
        </w:rPr>
        <w:t xml:space="preserve"> та інших прийнятих за таких умов рішень по справі [</w:t>
      </w:r>
      <w:r w:rsidR="00580E7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4082A">
        <w:rPr>
          <w:rFonts w:ascii="Times New Roman" w:hAnsi="Times New Roman" w:cs="Times New Roman"/>
          <w:sz w:val="28"/>
          <w:szCs w:val="28"/>
          <w:lang w:val="uk-UA"/>
        </w:rPr>
        <w:t xml:space="preserve">, с. 125]. </w:t>
      </w:r>
    </w:p>
    <w:p w14:paraId="0C96309F" w14:textId="0F3CCBA5" w:rsidR="00184C4B" w:rsidRDefault="0014082A" w:rsidP="00443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містяться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80E73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процесуальному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кодексі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580E73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 w:rsidRPr="0014082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актах (у тому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міжнародноправових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актах,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складають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08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) </w:t>
      </w:r>
      <w:r w:rsidR="004432BE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постановлена за результатами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клопотання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[1</w:t>
      </w:r>
      <w:r w:rsidR="00580E7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082A">
        <w:rPr>
          <w:rFonts w:ascii="Times New Roman" w:hAnsi="Times New Roman" w:cs="Times New Roman"/>
          <w:sz w:val="28"/>
          <w:szCs w:val="28"/>
        </w:rPr>
        <w:t xml:space="preserve">, с. </w:t>
      </w:r>
      <w:r w:rsidR="00580E73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14082A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78D3F2BD" w14:textId="6186B09B" w:rsidR="0014082A" w:rsidRPr="0014082A" w:rsidRDefault="0014082A" w:rsidP="001408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sz w:val="28"/>
          <w:szCs w:val="28"/>
          <w:lang w:val="uk-UA"/>
        </w:rPr>
        <w:t>Таким чином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відрізнити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незаконного та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свавільного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названого права.</w:t>
      </w:r>
    </w:p>
    <w:p w14:paraId="76143897" w14:textId="77777777" w:rsidR="0014082A" w:rsidRPr="00184C4B" w:rsidRDefault="00184C4B" w:rsidP="00184C4B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підстав проникнення до житла чи іншого володіння особи</w:t>
      </w:r>
    </w:p>
    <w:p w14:paraId="00CBE37C" w14:textId="77777777" w:rsidR="0014082A" w:rsidRDefault="0014082A" w:rsidP="0014082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E2AB72" w14:textId="77777777" w:rsidR="00184C4B" w:rsidRDefault="009B290E" w:rsidP="00184C4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0E">
        <w:rPr>
          <w:rFonts w:ascii="Times New Roman" w:hAnsi="Times New Roman" w:cs="Times New Roman"/>
          <w:sz w:val="28"/>
          <w:szCs w:val="28"/>
          <w:lang w:val="uk-UA"/>
        </w:rPr>
        <w:t>У сучасних словниках української мови підстава розуміється як: «те головне, на чому базується, основується що-небудь. Те, чим пояснюються, виправдовуються вчинки, поведінка і т. ін. кого-небудь. На підставі чого - виходячи з чого-небудь, спираючись на щось» [</w:t>
      </w:r>
      <w:r w:rsidR="00580E73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9B290E">
        <w:rPr>
          <w:rFonts w:ascii="Times New Roman" w:hAnsi="Times New Roman" w:cs="Times New Roman"/>
          <w:sz w:val="28"/>
          <w:szCs w:val="28"/>
          <w:lang w:val="uk-UA"/>
        </w:rPr>
        <w:t xml:space="preserve">, с. 966]. Тобто з урахуванням етимологічного визначення цього терміну можна дійти висновків, що у кримінальному процесі під підставою слід розуміти всі ті передумови, які повинні існувати на час проведення відповідної слідчої (розшукової) чи процесуальної дії, прийняття відповідного рішення. </w:t>
      </w:r>
    </w:p>
    <w:p w14:paraId="0E3481E8" w14:textId="02C2BBAC" w:rsidR="006C714F" w:rsidRDefault="00D96ADC" w:rsidP="004432B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2BE">
        <w:rPr>
          <w:rFonts w:ascii="Times New Roman" w:hAnsi="Times New Roman" w:cs="Times New Roman"/>
          <w:sz w:val="28"/>
          <w:szCs w:val="28"/>
        </w:rPr>
        <w:t>….</w:t>
      </w:r>
    </w:p>
    <w:p w14:paraId="0F6867F1" w14:textId="77777777" w:rsidR="0011492E" w:rsidRPr="0011492E" w:rsidRDefault="0011492E" w:rsidP="0011492E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по-четверте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превентивний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захід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1492E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1149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евідкладних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випадках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пов’язаних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із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врятуванням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життя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людей та майна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чи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безпосереднім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переслідуванням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осіб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які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підозрюються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вчиненні</w:t>
      </w:r>
      <w:proofErr w:type="spellEnd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злочину</w:t>
      </w:r>
      <w:proofErr w:type="spellEnd"/>
      <w:r w:rsidR="00A7064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[19, с.11]</w:t>
      </w:r>
      <w:r w:rsidRPr="001149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. </w:t>
      </w:r>
    </w:p>
    <w:p w14:paraId="3368470B" w14:textId="6C319BC4" w:rsidR="00184C4B" w:rsidRPr="0011492E" w:rsidRDefault="0011492E" w:rsidP="009B290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27A3734" w14:textId="77777777" w:rsidR="00A7064F" w:rsidRDefault="00A7064F" w:rsidP="0018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A4A74C" w14:textId="77777777" w:rsidR="00A7064F" w:rsidRDefault="00A7064F" w:rsidP="0018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B2ED8A" w14:textId="77777777" w:rsidR="00184C4B" w:rsidRPr="00184C4B" w:rsidRDefault="00184C4B" w:rsidP="00184C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2. ПРАВОВЕ РЕГУЛЮВАННЯ ПРОНИКНЕННЯ ДО </w:t>
      </w:r>
      <w:r w:rsidRPr="00184C4B">
        <w:rPr>
          <w:rFonts w:ascii="Times New Roman" w:hAnsi="Times New Roman" w:cs="Times New Roman"/>
          <w:b/>
          <w:sz w:val="28"/>
          <w:szCs w:val="28"/>
        </w:rPr>
        <w:t>ЖИТЛА ТА ІНШОГО ВОЛОДІННЯ ОСОБИ</w:t>
      </w:r>
    </w:p>
    <w:p w14:paraId="034FCCA9" w14:textId="77777777" w:rsidR="00184C4B" w:rsidRDefault="00184C4B" w:rsidP="00184C4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6B16E2" w14:textId="77777777" w:rsidR="00184C4B" w:rsidRPr="00184C4B" w:rsidRDefault="00184C4B" w:rsidP="00184C4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t>2.1. Проникнення до житла чи іншого володіння особи за рішенням суду</w:t>
      </w:r>
    </w:p>
    <w:p w14:paraId="5259AB61" w14:textId="77777777" w:rsidR="00184C4B" w:rsidRDefault="00184C4B" w:rsidP="00184C4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107976" w14:textId="20283C8B" w:rsidR="0011492E" w:rsidRDefault="009B290E" w:rsidP="009B290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0E">
        <w:rPr>
          <w:rFonts w:ascii="Times New Roman" w:hAnsi="Times New Roman" w:cs="Times New Roman"/>
          <w:sz w:val="28"/>
          <w:szCs w:val="28"/>
          <w:lang w:val="uk-UA"/>
        </w:rPr>
        <w:t xml:space="preserve">Якщо брати за основу проникнення до житла чи іншого володіння особи, то зміст ст. 233 КПК України свідчить, що законодавцем визначено наступні підстави (передумови) проведення даної слідчої (розшукової) дії: 1) має бути або добровільна згода особи, яка володіє домоволодінням; або ухвала слідчого судді (ч. 1 ст.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B290E">
        <w:rPr>
          <w:rFonts w:ascii="Times New Roman" w:hAnsi="Times New Roman" w:cs="Times New Roman"/>
          <w:sz w:val="28"/>
          <w:szCs w:val="28"/>
          <w:lang w:val="uk-UA"/>
        </w:rPr>
        <w:t xml:space="preserve">, можна дійти висновків, що кожна з наведених передумов для проникнення у житло чи інше володіння особи в порядку ст. 233 КПК України, має суттєві суперечності порівняно з іншими вимогами цього Кодексу. </w:t>
      </w:r>
    </w:p>
    <w:p w14:paraId="741079CF" w14:textId="77777777" w:rsidR="0011492E" w:rsidRDefault="009B290E" w:rsidP="009B290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0E">
        <w:rPr>
          <w:rFonts w:ascii="Times New Roman" w:hAnsi="Times New Roman" w:cs="Times New Roman"/>
          <w:sz w:val="28"/>
          <w:szCs w:val="28"/>
          <w:lang w:val="uk-UA"/>
        </w:rPr>
        <w:t>Хоча Європейський суд неодноразово наголошував: «що стосується втручання у приватне та сімейне життя, це повинно спиратися на національний закон. Закон, у свою чергу, повинен відповідати певним вимогам, зокрема бути передбачуваним» [</w:t>
      </w:r>
      <w:r w:rsidR="0094604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B290E">
        <w:rPr>
          <w:rFonts w:ascii="Times New Roman" w:hAnsi="Times New Roman" w:cs="Times New Roman"/>
          <w:sz w:val="28"/>
          <w:szCs w:val="28"/>
          <w:lang w:val="uk-UA"/>
        </w:rPr>
        <w:t>1, с. 90]. Зокрема, при обговоренні такої підстави проникнення до житла чи іншого володіння особи як: «або наявність добровільної згоди власника домоволодіння», «або наявність ухвали слідчого судді» (ч. 1 ст. 233 КПК України), одним із дискусійних питань є реалізація зазначених положень у контексті змісту ч. 3 ст. 233 цього Кодексу.</w:t>
      </w:r>
    </w:p>
    <w:p w14:paraId="7BF3D85E" w14:textId="520C6A9B" w:rsidR="009B290E" w:rsidRDefault="009B290E" w:rsidP="004432B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290E">
        <w:rPr>
          <w:rFonts w:ascii="Times New Roman" w:hAnsi="Times New Roman" w:cs="Times New Roman"/>
          <w:sz w:val="28"/>
          <w:szCs w:val="28"/>
          <w:lang w:val="uk-UA"/>
        </w:rPr>
        <w:t xml:space="preserve"> Безпосередньо проблематика полягає у тому, що згідно висновків відомої дослідниці теорії держави і права О.Ф. Скакун, кожна галузь права, кожна норма права має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54C076F9" w14:textId="2D45AF65" w:rsidR="00A75930" w:rsidRDefault="0011492E" w:rsidP="00A75930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76A10CCA" w14:textId="77777777" w:rsidR="0011492E" w:rsidRPr="009B290E" w:rsidRDefault="0011492E" w:rsidP="009B290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749586" w14:textId="77777777" w:rsidR="00184C4B" w:rsidRPr="00184C4B" w:rsidRDefault="00184C4B" w:rsidP="00184C4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 Проникнення до житла чи іншого володіння особи без рішення суду як превентивний захід</w:t>
      </w:r>
    </w:p>
    <w:p w14:paraId="6298FE22" w14:textId="77777777" w:rsidR="006D13DB" w:rsidRDefault="006D13DB" w:rsidP="0014082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25A50FE" w14:textId="75982A4C" w:rsidR="000A424A" w:rsidRPr="004432BE" w:rsidRDefault="006C714F" w:rsidP="009E2504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2BE">
        <w:rPr>
          <w:rFonts w:ascii="Times New Roman" w:hAnsi="Times New Roman" w:cs="Times New Roman"/>
          <w:sz w:val="28"/>
          <w:szCs w:val="28"/>
          <w:lang w:val="uk-UA"/>
        </w:rPr>
        <w:t>Поліція в рамках проведення превентивних заходів</w:t>
      </w:r>
      <w:r w:rsidR="00A75930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може проникнути до житла чи іншого володіння особи</w:t>
      </w:r>
      <w:r w:rsidR="00A75930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без вмотивованого рішення суду лише в невідкладних</w:t>
      </w:r>
      <w:r w:rsidR="00A75930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випадках, пов'язаних із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ятуванням життя людей та цінного майна під час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, застосуванням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засобів ураження або іншою небезпечною подією, що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призвела (може призвести) до виникнення загрози життю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або здоров'ю населення, великої кількості загиблих і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постраждалих, завдання значних матеріальних збитків,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а також до неможливості проживання населення на такій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території чи об'єкті, провадження на ній господарської</w:t>
      </w:r>
      <w:r w:rsidR="000A424A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946044" w:rsidRPr="004432BE">
        <w:rPr>
          <w:rFonts w:ascii="Times New Roman" w:hAnsi="Times New Roman" w:cs="Times New Roman"/>
          <w:sz w:val="28"/>
          <w:szCs w:val="28"/>
          <w:lang w:val="uk-UA"/>
        </w:rPr>
        <w:t xml:space="preserve"> [25, с.83]</w:t>
      </w:r>
      <w:r w:rsidRPr="004432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ED8F21A" w14:textId="34508BE9" w:rsidR="001B7FC6" w:rsidRPr="00A75930" w:rsidRDefault="006C714F" w:rsidP="004432BE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поліцейський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має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право</w:t>
      </w:r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проникнути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житла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іншого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володіння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особи</w:t>
      </w:r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виключно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рятуванням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людей та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цінного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майна,</w:t>
      </w:r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ситуаціях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види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затверджені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Постановою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15 липня 1998 року </w:t>
      </w:r>
      <w:r w:rsidR="000A424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1099 “Про порядок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надзвичайних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75930">
        <w:rPr>
          <w:rFonts w:ascii="Times New Roman" w:hAnsi="Times New Roman" w:cs="Times New Roman"/>
          <w:sz w:val="28"/>
          <w:szCs w:val="28"/>
          <w:lang w:val="ru-RU"/>
        </w:rPr>
        <w:t>ситуаці</w:t>
      </w:r>
      <w:r w:rsidR="000A424A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”. </w:t>
      </w:r>
      <w:proofErr w:type="spellStart"/>
      <w:r w:rsidR="000A424A">
        <w:rPr>
          <w:rFonts w:ascii="Times New Roman" w:hAnsi="Times New Roman" w:cs="Times New Roman"/>
          <w:sz w:val="28"/>
          <w:szCs w:val="28"/>
          <w:lang w:val="ru-RU"/>
        </w:rPr>
        <w:t>Надзвичайні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24A">
        <w:rPr>
          <w:rFonts w:ascii="Times New Roman" w:hAnsi="Times New Roman" w:cs="Times New Roman"/>
          <w:sz w:val="28"/>
          <w:szCs w:val="28"/>
          <w:lang w:val="ru-RU"/>
        </w:rPr>
        <w:t>ситуації</w:t>
      </w:r>
      <w:proofErr w:type="spellEnd"/>
      <w:r w:rsidR="000A424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A424A">
        <w:rPr>
          <w:rFonts w:ascii="Times New Roman" w:hAnsi="Times New Roman" w:cs="Times New Roman"/>
          <w:sz w:val="28"/>
          <w:szCs w:val="28"/>
          <w:lang w:val="ru-RU"/>
        </w:rPr>
        <w:t>поділя</w:t>
      </w:r>
      <w:r w:rsidRPr="00A75930">
        <w:rPr>
          <w:rFonts w:ascii="Times New Roman" w:hAnsi="Times New Roman" w:cs="Times New Roman"/>
          <w:sz w:val="28"/>
          <w:szCs w:val="28"/>
          <w:lang w:val="ru-RU"/>
        </w:rPr>
        <w:t>ються</w:t>
      </w:r>
      <w:proofErr w:type="spellEnd"/>
      <w:r w:rsidRPr="00A759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75930">
        <w:rPr>
          <w:rFonts w:ascii="Times New Roman" w:hAnsi="Times New Roman" w:cs="Times New Roman"/>
          <w:sz w:val="28"/>
          <w:szCs w:val="28"/>
          <w:lang w:val="ru-RU"/>
        </w:rPr>
        <w:t>на:</w:t>
      </w:r>
      <w:r w:rsidR="004432BE">
        <w:rPr>
          <w:rFonts w:ascii="Times New Roman" w:hAnsi="Times New Roman" w:cs="Times New Roman"/>
          <w:sz w:val="28"/>
          <w:szCs w:val="28"/>
          <w:lang w:val="ru-RU"/>
        </w:rPr>
        <w:t>…</w:t>
      </w:r>
      <w:proofErr w:type="gramEnd"/>
      <w:r w:rsidR="004432B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CCCE4C" w14:textId="1B5B103F" w:rsidR="009E2504" w:rsidRDefault="009E2504" w:rsidP="009E2504">
      <w:pPr>
        <w:pStyle w:val="PreformattedTex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Підсумовуючи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зазначимо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432BE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14:paraId="43132761" w14:textId="77777777" w:rsidR="0014082A" w:rsidRDefault="0014082A" w:rsidP="0014082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DA920C" w14:textId="77777777" w:rsidR="00184C4B" w:rsidRPr="00184C4B" w:rsidRDefault="00184C4B" w:rsidP="00184C4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t>2.3. Судовий контроль за проведенням у невідкладних випадках обшуку житла чи іншого володіння особи</w:t>
      </w:r>
    </w:p>
    <w:p w14:paraId="6C21C015" w14:textId="77777777" w:rsidR="0014082A" w:rsidRPr="00184C4B" w:rsidRDefault="0014082A" w:rsidP="00184C4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C55436" w14:textId="67707B17" w:rsidR="0014082A" w:rsidRDefault="0014082A" w:rsidP="004432B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082A">
        <w:rPr>
          <w:rFonts w:ascii="Times New Roman" w:hAnsi="Times New Roman" w:cs="Times New Roman"/>
          <w:sz w:val="28"/>
          <w:szCs w:val="28"/>
        </w:rPr>
        <w:t xml:space="preserve">У ст. 30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зазначено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допускається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обшуку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інакше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як за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вмотивованим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суду</w:t>
      </w:r>
      <w:r w:rsidR="009E72D3">
        <w:rPr>
          <w:rFonts w:ascii="Times New Roman" w:hAnsi="Times New Roman" w:cs="Times New Roman"/>
          <w:sz w:val="28"/>
          <w:szCs w:val="28"/>
          <w:lang w:val="uk-UA"/>
        </w:rPr>
        <w:t xml:space="preserve"> [2]</w:t>
      </w:r>
      <w:r w:rsidRPr="0014082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врятуванням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людей та майна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безпосереднім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переслідуванням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підозрюються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вчиненні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злочину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можливий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законом порядок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в них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обшуку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конкретизовано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у ч. 3 ст. 233 </w:t>
      </w:r>
      <w:r w:rsidRPr="0014082A">
        <w:rPr>
          <w:rFonts w:ascii="Times New Roman" w:hAnsi="Times New Roman" w:cs="Times New Roman"/>
          <w:sz w:val="28"/>
          <w:szCs w:val="28"/>
        </w:rPr>
        <w:lastRenderedPageBreak/>
        <w:t xml:space="preserve">КПК.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Слідчий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прокурор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право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постановлення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ухвали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увійти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особи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врятуванням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r w:rsidR="004432BE">
        <w:rPr>
          <w:rFonts w:ascii="Times New Roman" w:hAnsi="Times New Roman" w:cs="Times New Roman"/>
          <w:sz w:val="28"/>
          <w:szCs w:val="28"/>
        </w:rPr>
        <w:t>….</w:t>
      </w:r>
      <w:r w:rsidR="009E72D3">
        <w:rPr>
          <w:rFonts w:ascii="Times New Roman" w:hAnsi="Times New Roman" w:cs="Times New Roman"/>
          <w:sz w:val="28"/>
          <w:szCs w:val="28"/>
          <w:lang w:val="uk-UA"/>
        </w:rPr>
        <w:t xml:space="preserve">  [31]. </w:t>
      </w:r>
    </w:p>
    <w:p w14:paraId="7FBE480E" w14:textId="4CE7108E" w:rsidR="00184C4B" w:rsidRDefault="009E2504" w:rsidP="001408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30CB">
        <w:rPr>
          <w:rFonts w:ascii="Times New Roman" w:hAnsi="Times New Roman" w:cs="Times New Roman"/>
          <w:sz w:val="28"/>
          <w:szCs w:val="28"/>
          <w:lang w:val="uk-UA"/>
        </w:rPr>
        <w:t xml:space="preserve">Підсумовуючи зазначимо, що проникнення до житла чи іншого володіння особи підлягає </w:t>
      </w:r>
      <w:r w:rsidR="004432BE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41DF4496" w14:textId="77777777" w:rsidR="008530CB" w:rsidRDefault="008530CB" w:rsidP="001408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56FFF1" w14:textId="77777777" w:rsidR="008530CB" w:rsidRDefault="008530CB" w:rsidP="0014082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DA58508" w14:textId="77777777" w:rsidR="00184C4B" w:rsidRPr="00184C4B" w:rsidRDefault="00184C4B" w:rsidP="00184C4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C4B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058C2883" w14:textId="6D89D5A3" w:rsidR="00184C4B" w:rsidRDefault="008530CB" w:rsidP="004432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84C4B">
        <w:rPr>
          <w:rFonts w:ascii="Times New Roman" w:hAnsi="Times New Roman" w:cs="Times New Roman"/>
          <w:sz w:val="28"/>
          <w:szCs w:val="28"/>
          <w:lang w:val="uk-UA"/>
        </w:rPr>
        <w:t xml:space="preserve">роведене дослідження дозволяє зробити висновок, що забезпечення особистих прав і свобод людини, їх захист і ефективна реалізація є одним з головних завдань правової держави, особливе значення яких має місце саме в кримінальному судочинстві. </w:t>
      </w:r>
      <w:r w:rsidRPr="0014082A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важливе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суб’єктивним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правам на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недоторканність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082A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14082A">
        <w:rPr>
          <w:rFonts w:ascii="Times New Roman" w:hAnsi="Times New Roman" w:cs="Times New Roman"/>
          <w:sz w:val="28"/>
          <w:szCs w:val="28"/>
        </w:rPr>
        <w:t xml:space="preserve"> та </w:t>
      </w:r>
      <w:bookmarkStart w:id="0" w:name="_GoBack"/>
      <w:bookmarkEnd w:id="0"/>
    </w:p>
    <w:p w14:paraId="6CFAD92B" w14:textId="77777777" w:rsidR="0014082A" w:rsidRPr="002D7037" w:rsidRDefault="0014082A" w:rsidP="002D7037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037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6E6A2D92" w14:textId="77777777" w:rsidR="0014082A" w:rsidRPr="005D7FFE" w:rsidRDefault="0014082A" w:rsidP="005D7FF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632A0E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Назаренко П.Г. Принципи недоторканності  житла та іншого володіння особи: загальнотеоретичний аналіз. Науковий вісник Ужгородського національного університету, Серія ПРАВО. Випуск 38. Том 2. С.122-125. </w:t>
      </w:r>
    </w:p>
    <w:p w14:paraId="49514A34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Конституція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: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Закон України від </w:t>
      </w:r>
      <w:r w:rsidRPr="005D7FFE">
        <w:rPr>
          <w:rFonts w:ascii="Times New Roman" w:hAnsi="Times New Roman" w:cs="Times New Roman"/>
          <w:sz w:val="28"/>
          <w:szCs w:val="28"/>
        </w:rPr>
        <w:t>28 червня 1996 року URL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http://zakon3.rada.gov.ua/laws/show/254</w:t>
        </w:r>
      </w:hyperlink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98951E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Кримінальний процесуальний кодекс України: Закон України від 13.04.2012 р. № 4651-VI </w:t>
      </w:r>
      <w:r w:rsidRPr="005D7FFE">
        <w:rPr>
          <w:rFonts w:ascii="Times New Roman" w:hAnsi="Times New Roman" w:cs="Times New Roman"/>
          <w:sz w:val="28"/>
          <w:szCs w:val="28"/>
        </w:rPr>
        <w:t>URL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http://zakon5.rada.gov.ua/laws/show/4651-17</w:t>
        </w:r>
      </w:hyperlink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E9D6CC6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Кучинська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О.П.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5D7FFE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Прецедент, 2005.  204 с. </w:t>
      </w:r>
    </w:p>
    <w:p w14:paraId="0862CFB6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>Колодій А.М. Права людини і громадянина в Україні. К. : Юрінком Інтер, 2003. 336 с.</w:t>
      </w:r>
    </w:p>
    <w:p w14:paraId="51C71C2F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Борець Т. Провадження слідчих дій в житлі чи іншому володінні особи: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автореф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…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канд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наук : спец. 12.00.09. Київ.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ун-т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>. Справ. К., 2009. 16 с.</w:t>
      </w:r>
    </w:p>
    <w:p w14:paraId="5E911136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судову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практику у справах про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злочини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FFE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Постанова Пленуму Верховного суду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6 листопада 2009 року № 10 URL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D7FFE">
        <w:rPr>
          <w:rFonts w:ascii="Times New Roman" w:hAnsi="Times New Roman" w:cs="Times New Roman"/>
          <w:sz w:val="28"/>
          <w:szCs w:val="28"/>
        </w:rPr>
        <w:t xml:space="preserve">http://zakon3.rada.gov.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laws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/v0010700-09. </w:t>
      </w:r>
    </w:p>
    <w:p w14:paraId="7E4E3229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Літвінова І. Забезпечення недоторканності житла чи іншого володіння особи в кримінальному процесі: монографія. К.: ФОП О.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Ліпкан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, 2012.  230 с. </w:t>
      </w:r>
    </w:p>
    <w:p w14:paraId="18E73E2A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Конвенція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свобод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04.11.1950 р. URL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5D7FFE">
        <w:rPr>
          <w:rFonts w:ascii="Times New Roman" w:hAnsi="Times New Roman" w:cs="Times New Roman"/>
          <w:sz w:val="28"/>
          <w:szCs w:val="28"/>
        </w:rPr>
        <w:t xml:space="preserve">http://zakon0.rada.gov.ua/laws/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/995_004. </w:t>
      </w:r>
    </w:p>
    <w:p w14:paraId="7A48A10E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Хім’як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Ю.Б.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на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суду з прав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кримінально-правовий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аспект)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>. Часопис Київського університету права. 2010. № 3.  С. 261–265.</w:t>
      </w:r>
    </w:p>
    <w:p w14:paraId="4F578115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Манівець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Е.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конституційних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7FFE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спец. 12.00.09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Харків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2005. 18 с. </w:t>
      </w:r>
    </w:p>
    <w:p w14:paraId="6AFFEB27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Струць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Законність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обґрунтованість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слідчих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гарантія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судочинства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. наук: спец. 12.00.09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2009. 18 с. </w:t>
      </w:r>
    </w:p>
    <w:p w14:paraId="76ED1FEA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аспекти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права на свободу і особисту (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тілесну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недоторканність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судочинстві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нормативно-правового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(м.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15-16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2011 р.).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I.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Типовіт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», 2011. С. 176–178.</w:t>
      </w:r>
    </w:p>
    <w:p w14:paraId="01EE51D1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Аббакумов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контролю за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додержанням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і свобод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7FFE">
        <w:rPr>
          <w:rFonts w:ascii="Times New Roman" w:hAnsi="Times New Roman" w:cs="Times New Roman"/>
          <w:sz w:val="28"/>
          <w:szCs w:val="28"/>
        </w:rPr>
        <w:t>Прокуратура. Людина. Держава. 2005. №8.  С. 71.</w:t>
      </w:r>
    </w:p>
    <w:p w14:paraId="2EC57181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Великий тлумачний слоник сучасної української мови (з дод. і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>.). Київ, Ірпінь: ВТФ «Перун», 2005. 1728 с.</w:t>
      </w:r>
    </w:p>
    <w:p w14:paraId="67A02CA4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процесуальне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/ За ред.. проф. В. Гончаренка та В. Колесника. </w:t>
      </w:r>
      <w:proofErr w:type="gramStart"/>
      <w:r w:rsidRPr="005D7FFE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Юстініан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2014. 573 с. </w:t>
      </w:r>
    </w:p>
    <w:p w14:paraId="06DD8B10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процесуальний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кодекс.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: у 2 т. / О.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Бандурка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Блажівський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Є.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Бурдоль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.; за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ред. В.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Тація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Пшонки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, А. Портнова. Х.: Право, 2012.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FFE">
        <w:rPr>
          <w:rFonts w:ascii="Times New Roman" w:hAnsi="Times New Roman" w:cs="Times New Roman"/>
          <w:sz w:val="28"/>
          <w:szCs w:val="28"/>
        </w:rPr>
        <w:t xml:space="preserve">Т.1. 768 с. </w:t>
      </w:r>
    </w:p>
    <w:p w14:paraId="7C2CA579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Лукашкіна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Т.В. Проникнення до житла чи іншого володіння особи: деякі питання. Сучасні проблеми реформування кримінальної юстиції в Україні : збірник матеріалів Інтернет-конференції (Київ, 28 листопада 2014 року). К. : Національна академія прокуратури України, 2014. С. 116–117.</w:t>
      </w:r>
    </w:p>
    <w:p w14:paraId="57D509CB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</w:rPr>
        <w:t xml:space="preserve">Удалова Л.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проблемні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правозастосування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Актуальні питання кримінального процесуального законодавства України (Київ, 26 квітня 2013 року) : збірник матеріалів міжвузівської наукової конференції ; Національна академія прокуратури України. К. :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>, 2013. С. 8–12.</w:t>
      </w:r>
    </w:p>
    <w:p w14:paraId="22E58DE2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Гловюк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І.В. Стаття 233 КПК України: питання практичної реалізації. Молодий вчений. № 2(17). 2015. С. 216–219.</w:t>
      </w:r>
    </w:p>
    <w:p w14:paraId="5B80E879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lastRenderedPageBreak/>
        <w:t>Ахтирська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Н.,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Філатов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Фулей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Хембай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Х.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Стаття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Конвенції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основоположних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свобод: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здійсненні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Істина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2011. 200 с. </w:t>
      </w:r>
    </w:p>
    <w:p w14:paraId="7B634DD5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Марчук Н.О., Касько В.В., Куйбіда Р.О., Хавронюк М.І. та ін.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Настільна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книга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кримінальне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, «Арт-Дизайн», 2015. 248 с.</w:t>
      </w:r>
    </w:p>
    <w:p w14:paraId="2BADE974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Комарницька О.Б. Клопотання на проведення обшуку житла чи іншого володіння особи: сучасний стан та перспективи. Судова апеляція.  № 3(26).2014. С. 46–55.</w:t>
      </w:r>
    </w:p>
    <w:p w14:paraId="49E1D165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Чванкін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Обшук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за правилами. З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підстав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прокурорам і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слідчим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відмовлено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доступі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D7FFE">
        <w:rPr>
          <w:rFonts w:ascii="Times New Roman" w:hAnsi="Times New Roman" w:cs="Times New Roman"/>
          <w:sz w:val="28"/>
          <w:szCs w:val="28"/>
        </w:rPr>
        <w:t xml:space="preserve">Закон і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. 2015.  № 16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72AE9C1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Калужна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О. Тактика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речей і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доказів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провадженні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2015.  № 2. С. 83–90. </w:t>
      </w:r>
    </w:p>
    <w:p w14:paraId="445677B1" w14:textId="77777777" w:rsidR="005D7FFE" w:rsidRPr="005D7FFE" w:rsidRDefault="005D7FFE" w:rsidP="005D7FFE">
      <w:pPr>
        <w:pStyle w:val="PreformattedText"/>
        <w:numPr>
          <w:ilvl w:val="0"/>
          <w:numId w:val="4"/>
        </w:numPr>
        <w:spacing w:line="276" w:lineRule="auto"/>
        <w:ind w:left="0" w:firstLine="709"/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Ташматов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В.А. Проникнення до житла чи іншого володіння особи як превентивний поліцейський захід. </w:t>
      </w:r>
      <w:hyperlink r:id="rId9" w:tooltip="Періодичне видання" w:history="1">
        <w:r w:rsidRPr="005D7FFE">
          <w:rPr>
            <w:rStyle w:val="a4"/>
            <w:rFonts w:ascii="Times New Roman" w:hAnsi="Times New Roman" w:cs="Times New Roman"/>
            <w:color w:val="8B4513"/>
            <w:sz w:val="28"/>
            <w:szCs w:val="28"/>
            <w:lang w:val="uk-UA"/>
          </w:rPr>
          <w:t>Південноукраїнський правничий часопис</w:t>
        </w:r>
      </w:hyperlink>
      <w:r w:rsidRPr="005D7FFE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  <w:lang w:val="uk-UA"/>
        </w:rPr>
        <w:t>.  2016. № 1.  С. 108-112.</w:t>
      </w:r>
    </w:p>
    <w:p w14:paraId="443A8E67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Неводнича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  <w:lang w:val="uk-UA"/>
        </w:rPr>
        <w:t>Л.О.Підстави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проникнення до житла чи іншого володіння особи: проблеми законодавчого регулювання. Те</w:t>
      </w:r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нденції і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преспективи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розвитку інститутів права та держави :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зб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матеріалів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наук.-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конф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..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Міжнар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юрид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наук.-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практ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Інтернет-конф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"Актуальна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юриспруденція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 </w:t>
      </w:r>
      <w:proofErr w:type="spellStart"/>
      <w:proofErr w:type="gram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Київ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АртЕк</w:t>
      </w:r>
      <w:proofErr w:type="spellEnd"/>
      <w:r w:rsidRPr="005D7F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2018. С. 114-119. </w:t>
      </w:r>
    </w:p>
    <w:p w14:paraId="1575DBBD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Тракало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повагу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до приватного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.. … канд.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D7FFE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спец. 12.00.09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, 2014. 20 с.</w:t>
      </w:r>
    </w:p>
    <w:p w14:paraId="657B9EBA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</w:rPr>
        <w:t xml:space="preserve">Макаров М. А.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Судовий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невідкладних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обшуку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особи.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Прикарпатський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юридичний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Випуск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3(9) том 2, 2015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. С.231-234. </w:t>
      </w:r>
    </w:p>
    <w:p w14:paraId="528520D5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Кононець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В.П.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процесуального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проникнення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зако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>нних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підставах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D7FFE">
        <w:rPr>
          <w:rFonts w:ascii="Times New Roman" w:hAnsi="Times New Roman" w:cs="Times New Roman"/>
          <w:sz w:val="28"/>
          <w:szCs w:val="28"/>
          <w:lang w:val="uk-UA"/>
        </w:rPr>
        <w:t>. Право і суспільство.№3. 2016. С. 107-111.</w:t>
      </w:r>
    </w:p>
    <w:p w14:paraId="58496E5C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Миронюк Р.В. Окремі питання законності застосування проникнення до житла чи іншого володіння особи без вмотивованого рішення суду як превентивний поліцейський захід </w:t>
      </w:r>
      <w:r w:rsidRPr="005D7FFE">
        <w:rPr>
          <w:rFonts w:ascii="Times New Roman" w:hAnsi="Times New Roman" w:cs="Times New Roman"/>
          <w:sz w:val="28"/>
          <w:szCs w:val="28"/>
        </w:rPr>
        <w:t>URL</w:t>
      </w:r>
      <w:r w:rsidRPr="005D7FF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er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dduvs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in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bitstream</w:t>
        </w:r>
        <w:r w:rsidRPr="005D7FFE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 123456789/1217/1/10.</w:t>
        </w:r>
        <w:proofErr w:type="spellStart"/>
        <w:r w:rsidRPr="005D7FFE">
          <w:rPr>
            <w:rStyle w:val="a4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14:paraId="141B973E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FE">
        <w:rPr>
          <w:rFonts w:ascii="Times New Roman" w:hAnsi="Times New Roman" w:cs="Times New Roman"/>
          <w:sz w:val="28"/>
          <w:szCs w:val="28"/>
        </w:rPr>
        <w:t xml:space="preserve">Удалова Л.Д.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Функція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судового контролю у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кримінальному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7FFE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К. : Центр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учбової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, 2015. 176 с. </w:t>
      </w:r>
    </w:p>
    <w:p w14:paraId="0185D482" w14:textId="77777777" w:rsidR="005D7FFE" w:rsidRPr="005D7FFE" w:rsidRDefault="005D7FFE" w:rsidP="005D7FF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FE">
        <w:rPr>
          <w:rFonts w:ascii="Times New Roman" w:hAnsi="Times New Roman" w:cs="Times New Roman"/>
          <w:sz w:val="28"/>
          <w:szCs w:val="28"/>
        </w:rPr>
        <w:lastRenderedPageBreak/>
        <w:t xml:space="preserve">Банах С.С.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слідчого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судді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прав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Вісник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прокуратури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FF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7FFE">
        <w:rPr>
          <w:rFonts w:ascii="Times New Roman" w:hAnsi="Times New Roman" w:cs="Times New Roman"/>
          <w:sz w:val="28"/>
          <w:szCs w:val="28"/>
        </w:rPr>
        <w:t>. 2013.  № 4. С. 61–65</w:t>
      </w:r>
      <w:r w:rsidRPr="005D7FFE">
        <w:rPr>
          <w:rFonts w:ascii="Times New Roman" w:hAnsi="Times New Roman" w:cs="Times New Roman"/>
          <w:sz w:val="20"/>
          <w:szCs w:val="20"/>
        </w:rPr>
        <w:t>.</w:t>
      </w:r>
    </w:p>
    <w:p w14:paraId="06362E6F" w14:textId="77777777" w:rsidR="005D7FFE" w:rsidRPr="00A42783" w:rsidRDefault="005D7FFE" w:rsidP="005D7FFE">
      <w:pPr>
        <w:pStyle w:val="PreformattedText"/>
        <w:spacing w:line="276" w:lineRule="auto"/>
        <w:rPr>
          <w:rFonts w:ascii="Times New Roman" w:hAnsi="Times New Roman" w:cs="Times New Roman"/>
          <w:lang w:val="ru-RU"/>
        </w:rPr>
      </w:pPr>
    </w:p>
    <w:p w14:paraId="67A01C6F" w14:textId="77777777" w:rsidR="005D7FFE" w:rsidRPr="00A42783" w:rsidRDefault="005D7FFE" w:rsidP="005D7FFE">
      <w:pPr>
        <w:rPr>
          <w:rFonts w:ascii="Times New Roman" w:hAnsi="Times New Roman" w:cs="Times New Roman"/>
          <w:sz w:val="20"/>
          <w:szCs w:val="20"/>
        </w:rPr>
      </w:pPr>
    </w:p>
    <w:p w14:paraId="046FB7EF" w14:textId="77777777" w:rsidR="001171E5" w:rsidRPr="001B7FC6" w:rsidRDefault="001171E5" w:rsidP="005D7FFE">
      <w:pPr>
        <w:pStyle w:val="a3"/>
        <w:spacing w:after="0"/>
        <w:ind w:left="709"/>
        <w:jc w:val="both"/>
      </w:pPr>
    </w:p>
    <w:sectPr w:rsidR="001171E5" w:rsidRPr="001B7FC6" w:rsidSect="0011492E">
      <w:headerReference w:type="default" r:id="rId11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549A2" w14:textId="77777777" w:rsidR="00265B78" w:rsidRDefault="00265B78" w:rsidP="0011492E">
      <w:pPr>
        <w:spacing w:after="0" w:line="240" w:lineRule="auto"/>
      </w:pPr>
      <w:r>
        <w:separator/>
      </w:r>
    </w:p>
  </w:endnote>
  <w:endnote w:type="continuationSeparator" w:id="0">
    <w:p w14:paraId="3E6CEBA2" w14:textId="77777777" w:rsidR="00265B78" w:rsidRDefault="00265B78" w:rsidP="0011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799C4" w14:textId="77777777" w:rsidR="00265B78" w:rsidRDefault="00265B78" w:rsidP="0011492E">
      <w:pPr>
        <w:spacing w:after="0" w:line="240" w:lineRule="auto"/>
      </w:pPr>
      <w:r>
        <w:separator/>
      </w:r>
    </w:p>
  </w:footnote>
  <w:footnote w:type="continuationSeparator" w:id="0">
    <w:p w14:paraId="39078395" w14:textId="77777777" w:rsidR="00265B78" w:rsidRDefault="00265B78" w:rsidP="00114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2073329"/>
      <w:docPartObj>
        <w:docPartGallery w:val="Page Numbers (Top of Page)"/>
        <w:docPartUnique/>
      </w:docPartObj>
    </w:sdtPr>
    <w:sdtEndPr/>
    <w:sdtContent>
      <w:p w14:paraId="7D17F975" w14:textId="77777777" w:rsidR="008530CB" w:rsidRDefault="00265B7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FFE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F1753"/>
    <w:multiLevelType w:val="hybridMultilevel"/>
    <w:tmpl w:val="0D4E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D38DA"/>
    <w:multiLevelType w:val="multilevel"/>
    <w:tmpl w:val="A13865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24731AE"/>
    <w:multiLevelType w:val="multilevel"/>
    <w:tmpl w:val="26F4A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E604151"/>
    <w:multiLevelType w:val="multilevel"/>
    <w:tmpl w:val="2774D2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6896897"/>
    <w:multiLevelType w:val="hybridMultilevel"/>
    <w:tmpl w:val="18E8C7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905EC"/>
    <w:multiLevelType w:val="hybridMultilevel"/>
    <w:tmpl w:val="94F0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84B59"/>
    <w:multiLevelType w:val="hybridMultilevel"/>
    <w:tmpl w:val="C43A9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2A"/>
    <w:rsid w:val="00047EDC"/>
    <w:rsid w:val="000A424A"/>
    <w:rsid w:val="0011492E"/>
    <w:rsid w:val="001171E5"/>
    <w:rsid w:val="0014082A"/>
    <w:rsid w:val="00184C4B"/>
    <w:rsid w:val="001B7FC6"/>
    <w:rsid w:val="00265B78"/>
    <w:rsid w:val="002D60B1"/>
    <w:rsid w:val="002D7037"/>
    <w:rsid w:val="004432BE"/>
    <w:rsid w:val="00580E73"/>
    <w:rsid w:val="005D7FFE"/>
    <w:rsid w:val="00653D2F"/>
    <w:rsid w:val="006C714F"/>
    <w:rsid w:val="006D13DB"/>
    <w:rsid w:val="007B1E92"/>
    <w:rsid w:val="008317C0"/>
    <w:rsid w:val="008530CB"/>
    <w:rsid w:val="00886419"/>
    <w:rsid w:val="00946044"/>
    <w:rsid w:val="0099269E"/>
    <w:rsid w:val="009B290E"/>
    <w:rsid w:val="009E2504"/>
    <w:rsid w:val="009E72D3"/>
    <w:rsid w:val="009F7A0E"/>
    <w:rsid w:val="00A2685A"/>
    <w:rsid w:val="00A7064F"/>
    <w:rsid w:val="00A75930"/>
    <w:rsid w:val="00B711C4"/>
    <w:rsid w:val="00BC5969"/>
    <w:rsid w:val="00CB4BCE"/>
    <w:rsid w:val="00D96ADC"/>
    <w:rsid w:val="00E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4954"/>
  <w15:docId w15:val="{F8DCBEB1-AAFF-4C89-925B-5F18DE95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82A"/>
    <w:pPr>
      <w:ind w:left="720"/>
      <w:contextualSpacing/>
    </w:pPr>
  </w:style>
  <w:style w:type="paragraph" w:customStyle="1" w:styleId="PreformattedText">
    <w:name w:val="Preformatted Text"/>
    <w:basedOn w:val="a"/>
    <w:rsid w:val="006D13DB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a4">
    <w:name w:val="Hyperlink"/>
    <w:basedOn w:val="a0"/>
    <w:uiPriority w:val="99"/>
    <w:unhideWhenUsed/>
    <w:rsid w:val="001B7FC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492E"/>
  </w:style>
  <w:style w:type="paragraph" w:styleId="a7">
    <w:name w:val="footer"/>
    <w:basedOn w:val="a"/>
    <w:link w:val="a8"/>
    <w:uiPriority w:val="99"/>
    <w:semiHidden/>
    <w:unhideWhenUsed/>
    <w:rsid w:val="00114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651-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25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r.dduvs.in.ua/bitstream/%20123456789/1217/1/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25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Оксана Смолярчук</cp:lastModifiedBy>
  <cp:revision>3</cp:revision>
  <dcterms:created xsi:type="dcterms:W3CDTF">2019-11-03T11:34:00Z</dcterms:created>
  <dcterms:modified xsi:type="dcterms:W3CDTF">2019-11-03T11:36:00Z</dcterms:modified>
</cp:coreProperties>
</file>