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9E" w:rsidRDefault="000516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ЗМІСТ</w:t>
      </w:r>
    </w:p>
    <w:p w:rsidR="009D389E" w:rsidRDefault="009D389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389E" w:rsidRDefault="000516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ВСТУП......................................................................................................................3</w:t>
      </w:r>
    </w:p>
    <w:p w:rsidR="009D389E" w:rsidRDefault="000516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 корпоративних обов’язків……………...………………….5</w:t>
      </w:r>
    </w:p>
    <w:p w:rsidR="009D389E" w:rsidRDefault="000516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 2. Види корпоративних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обов’язків……………….…………………...12</w:t>
      </w:r>
    </w:p>
    <w:p w:rsidR="009D389E" w:rsidRDefault="0005167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Організаційні обов’язки суб’єктів корпоративних відносин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…………….12</w:t>
      </w:r>
    </w:p>
    <w:p w:rsidR="009D389E" w:rsidRDefault="000516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Майнові обов’язки суб’єктів корпоративних відносин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………………….16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 3. </w:t>
      </w:r>
      <w:r w:rsidR="00C4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роблематика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виконання корпоративних обов'язків суб’єктами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корпоративних відносин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…………………………………...…………………...19</w:t>
      </w:r>
    </w:p>
    <w:p w:rsidR="009D389E" w:rsidRDefault="000516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ВИСНОВКИ...........................................................................................................36</w:t>
      </w:r>
    </w:p>
    <w:p w:rsidR="009D389E" w:rsidRDefault="000516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ЛІТЕРАТУРИ……………………...……………38</w:t>
      </w: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rPr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9D389E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051678">
      <w:pPr>
        <w:pStyle w:val="a3"/>
        <w:shd w:val="clear" w:color="auto" w:fill="FFFFFF"/>
        <w:spacing w:before="0" w:after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p w:rsidR="009D389E" w:rsidRDefault="009D389E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9D389E" w:rsidRDefault="00051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Актуальність теми.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світі, в якому ринкові відносини повністю одержали перемогу та довели свою ефективність, дуже важливу роль відіграють корпорації, будучи основною формою ведення бізнесу та виступаючи засобом вирішення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051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Мета і завдання дослідження. Мета </w:t>
      </w:r>
      <w:r w:rsidR="00C41A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:rsidR="009D389E" w:rsidRDefault="00051678">
      <w:pPr>
        <w:pStyle w:val="a6"/>
        <w:spacing w:line="360" w:lineRule="auto"/>
        <w:ind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Виходячи з зазначеної мети, у роботі зроблено спробу вирішити ряд завдань:</w:t>
      </w:r>
    </w:p>
    <w:p w:rsidR="009D389E" w:rsidRDefault="00C41A10">
      <w:pPr>
        <w:pStyle w:val="a6"/>
        <w:numPr>
          <w:ilvl w:val="0"/>
          <w:numId w:val="2"/>
        </w:numPr>
        <w:spacing w:line="360" w:lineRule="auto"/>
        <w:ind w:left="0"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>…</w:t>
      </w:r>
    </w:p>
    <w:p w:rsidR="009D389E" w:rsidRPr="00C41A10" w:rsidRDefault="00051678">
      <w:pPr>
        <w:pStyle w:val="a6"/>
        <w:spacing w:line="360" w:lineRule="auto"/>
        <w:ind w:firstLine="708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</w:rPr>
        <w:t xml:space="preserve">Об’єктом дослідження </w:t>
      </w:r>
      <w:r w:rsidR="00C41A10">
        <w:rPr>
          <w:szCs w:val="28"/>
          <w:shd w:val="clear" w:color="auto" w:fill="FFFFFF"/>
          <w:lang w:val="ru-RU"/>
        </w:rPr>
        <w:t>…</w:t>
      </w:r>
    </w:p>
    <w:p w:rsidR="009D389E" w:rsidRPr="00C41A10" w:rsidRDefault="00051678">
      <w:pPr>
        <w:pStyle w:val="a6"/>
        <w:spacing w:line="360" w:lineRule="auto"/>
        <w:ind w:firstLine="720"/>
        <w:jc w:val="both"/>
        <w:rPr>
          <w:szCs w:val="28"/>
          <w:shd w:val="clear" w:color="auto" w:fill="FFFFFF"/>
          <w:lang w:val="ru-RU"/>
        </w:rPr>
      </w:pPr>
      <w:r>
        <w:rPr>
          <w:shd w:val="clear" w:color="auto" w:fill="FFFFFF"/>
        </w:rPr>
        <w:t xml:space="preserve">Предмет дослідження </w:t>
      </w:r>
      <w:r w:rsidR="00C41A10">
        <w:rPr>
          <w:shd w:val="clear" w:color="auto" w:fill="FFFFFF"/>
          <w:lang w:val="ru-RU"/>
        </w:rPr>
        <w:t>…</w:t>
      </w:r>
    </w:p>
    <w:p w:rsidR="009D389E" w:rsidRPr="00C41A10" w:rsidRDefault="00051678">
      <w:pPr>
        <w:pStyle w:val="a6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shd w:val="clear" w:color="auto" w:fill="FFFFFF"/>
        </w:rPr>
        <w:t>Методи дослідження.</w:t>
      </w:r>
      <w:r>
        <w:rPr>
          <w:b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У основі </w:t>
      </w:r>
      <w:r w:rsidR="00C41A10">
        <w:rPr>
          <w:szCs w:val="28"/>
          <w:lang w:val="ru-RU"/>
        </w:rPr>
        <w:t>…</w:t>
      </w:r>
    </w:p>
    <w:p w:rsidR="009D389E" w:rsidRDefault="00051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Структурно курсова робота складається зі вступу, троьх розділів, висновків та завершується сп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иском використаної літератури. Повний обсяг роботи складає 4</w:t>
      </w:r>
      <w:r w:rsidRPr="00C408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сторінку.</w:t>
      </w:r>
    </w:p>
    <w:p w:rsidR="009D389E" w:rsidRDefault="009D3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9D3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051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РОЗДІЛ 1. ПОНЯТТЯ КОРПОРАТИВНИХ ОБОВ’ЯЗКІВ</w:t>
      </w:r>
    </w:p>
    <w:p w:rsidR="009D389E" w:rsidRDefault="009D3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9E" w:rsidRDefault="00051678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Зміст корпоративних правовідносин - це складна двоелементна структура, яка складається із суб'єктивних прав і </w:t>
      </w:r>
      <w:r>
        <w:rPr>
          <w:sz w:val="28"/>
          <w:szCs w:val="28"/>
          <w:lang w:val="uk-UA"/>
        </w:rPr>
        <w:t>обов'язків учасників цих відносин і побудована за принципом «право - обов'язок».</w:t>
      </w:r>
    </w:p>
    <w:p w:rsidR="009D389E" w:rsidRDefault="00051678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і кожен юридичний обов'язок, суб'єктивний обов'язок учасника корпоративних відносин - це вид і міра його належної поведінки, яка може полягати в </w:t>
      </w:r>
      <w:r w:rsidR="00C41A10">
        <w:rPr>
          <w:sz w:val="28"/>
          <w:szCs w:val="28"/>
          <w:lang w:val="uk-UA"/>
        </w:rPr>
        <w:t>…</w:t>
      </w:r>
    </w:p>
    <w:p w:rsidR="009D389E" w:rsidRDefault="00051678" w:rsidP="00C41A1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Дії активного характеру спонукають зобов'язаного учасника діяти в інтересах інших учасників корпоративних відносин, оскільки вони забезпечені санкцією за невиконання обов'язку. Переважно обов'язковість вчинення такий дій у нормах корпоративного </w:t>
      </w:r>
      <w:r>
        <w:rPr>
          <w:sz w:val="28"/>
          <w:szCs w:val="28"/>
          <w:lang w:val="uk-UA"/>
        </w:rPr>
        <w:t>права змодельовано шляхом використання термінів «зобов'язаний», «повинен» тощо [1, c. 29]. Наприклад, товариство на вимогу учасника зобов'язане надати йому для ознайомлення річний баланс, звіти про фінансово-господарську діяльність товариства, протоколи ре</w:t>
      </w:r>
      <w:r>
        <w:rPr>
          <w:sz w:val="28"/>
          <w:szCs w:val="28"/>
          <w:lang w:val="uk-UA"/>
        </w:rPr>
        <w:t xml:space="preserve">візійної комісії, протоколи зборів органів управління товариством тощо (абз. 3 ч. 2 ст. 88 ГК) [2]; учасники господарського товариства зобов'язані не розголошувати комерційну таємницю та конфіденційну </w:t>
      </w:r>
      <w:r w:rsidR="00C41A10">
        <w:rPr>
          <w:sz w:val="28"/>
          <w:szCs w:val="28"/>
          <w:lang w:val="uk-UA"/>
        </w:rPr>
        <w:t>….</w:t>
      </w: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ідводячи підсумок </w:t>
      </w:r>
      <w:r w:rsidR="00C41A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051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РОЗДІЛ 2. ВИДИ КОРПОРАТИВНИХ ОБОВ’ЯЗКІВ</w:t>
      </w:r>
    </w:p>
    <w:p w:rsidR="009D389E" w:rsidRDefault="009D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051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2.1. Організаційні обов’язки суб’єктів корпоративних відносин</w:t>
      </w:r>
    </w:p>
    <w:p w:rsidR="009D389E" w:rsidRDefault="009D3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господарського товариства зобов'язані: 1) додержуватися установчого документа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та виконувати рішення загальних зборів; 2) не розголошувати комерційну таємницю та конфіденційну інформацію про діяльність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[11, c.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90]. </w:t>
      </w: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обов'язків учасника віднесено також обов'язок не розголошувати комерційну таємницю та конфіденційну інформацію про діяльність товариства. Поняття комерційної таємниці і конфіденційної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 та їх зміст, визначаються законодавчими акт</w:t>
      </w:r>
      <w:r>
        <w:rPr>
          <w:rFonts w:ascii="Times New Roman" w:hAnsi="Times New Roman" w:cs="Times New Roman"/>
          <w:sz w:val="28"/>
          <w:szCs w:val="28"/>
          <w:lang w:val="uk-UA"/>
        </w:rPr>
        <w:t>ами та внутрішніми документами господарського товариства. Відповідно до ст. 36 ГК [2] комерційна таємниця - це відомості, пов'язані з виробництвом, технологією, управлінням, фінансовою та іншою діяльністю суб'єкта господарювання, що не є державною таємнице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ю, і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051678" w:rsidP="00C41A1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із змісту ч. 3 ст. 36 ГК [2] під розголошенням слід розуміти незаконне ознайомлення іншої особи з відомостями, що становлять комерційну таємницю, особою, якій ці відомості стали відомими, а також створення нею умов, сприятливих дл</w:t>
      </w:r>
      <w:r>
        <w:rPr>
          <w:sz w:val="28"/>
          <w:szCs w:val="28"/>
          <w:lang w:val="uk-UA"/>
        </w:rPr>
        <w:t xml:space="preserve">я ознайомлення з ними сторонніх осіб, якщо такі дії завдали чи могли </w:t>
      </w:r>
      <w:r w:rsidR="00C41A10">
        <w:rPr>
          <w:sz w:val="28"/>
          <w:szCs w:val="28"/>
          <w:lang w:val="uk-UA"/>
        </w:rPr>
        <w:t>….</w:t>
      </w: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9D389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389E" w:rsidRDefault="000516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2.2. Майнові обов’язки суб’єктів корпоративних відносин</w:t>
      </w:r>
    </w:p>
    <w:p w:rsidR="009D389E" w:rsidRDefault="009D3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9E" w:rsidRDefault="000516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майнові правовідносини – це відносини щодо формування установчого капіталу товариства та його використання (між повними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учасниками), відносини щодо формування вкладів вкладниками командитного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[14, c. 148].</w:t>
      </w:r>
    </w:p>
    <w:p w:rsidR="009D389E" w:rsidRDefault="00051678" w:rsidP="00C41A1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Наступний комплекс загальних обов'язків зобов'язує учасників господарських товариства виконувати свої зобов'язання перед товариством, у тому числі й ті, що пов'язані з майновою участю, а також робити вкла</w:t>
      </w:r>
      <w:r>
        <w:rPr>
          <w:sz w:val="28"/>
          <w:szCs w:val="28"/>
          <w:lang w:val="uk-UA"/>
        </w:rPr>
        <w:t xml:space="preserve">ди (оплачувати акції) у розмірі, в порядку та засобами, що передбачені установчими документами (абз. 2 ч. 1 ст. 117 ЦК) [3]. З поміж усіх можливих зобов'язань перед товариством законодавець акцентує увагу в цій нормі на майнових обов'язках, зокрема робити </w:t>
      </w:r>
      <w:r>
        <w:rPr>
          <w:sz w:val="28"/>
          <w:szCs w:val="28"/>
          <w:lang w:val="uk-UA"/>
        </w:rPr>
        <w:t xml:space="preserve">вклади та оплачувати акції. В юридичній літературі цей обов'язок поділяють на дві </w:t>
      </w:r>
      <w:r w:rsidR="00C41A10">
        <w:rPr>
          <w:sz w:val="28"/>
          <w:szCs w:val="28"/>
          <w:lang w:val="uk-UA"/>
        </w:rPr>
        <w:t>…</w:t>
      </w:r>
      <w:r>
        <w:rPr>
          <w:color w:val="000000"/>
          <w:sz w:val="28"/>
          <w:szCs w:val="28"/>
          <w:lang w:val="uk-UA"/>
        </w:rPr>
        <w:t xml:space="preserve"> Забороняється використовувати для формування статутного</w:t>
      </w:r>
      <w:r>
        <w:rPr>
          <w:color w:val="000000"/>
          <w:sz w:val="28"/>
          <w:szCs w:val="28"/>
          <w:lang w:val="uk-UA"/>
        </w:rPr>
        <w:t xml:space="preserve"> фонду товариства бюджетні кошти, кошти, одержані у кредит та під заставу [16, c. 153].</w:t>
      </w:r>
    </w:p>
    <w:p w:rsidR="009D389E" w:rsidRDefault="00051678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тже</w:t>
      </w:r>
      <w:r w:rsidR="00C41A1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9D389E" w:rsidRDefault="000516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РОЗДІЛ 3. ПРОБЛЕМАТИКА ВИКОНАННЯ КОРПОРАТИВНИХ ОБОВ'ЯЗКІВ СУБ’ЄКТАМИ КОРПОРАТИВНИХ ВІДНОСИН</w:t>
      </w:r>
    </w:p>
    <w:p w:rsidR="009D389E" w:rsidRDefault="009D3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89E" w:rsidRDefault="00051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середини 2007 р. ч. 3 ст. 52 ЗУ «Про господарські товариства» [5] передбачала, що «учасник (товариства з обмеженою відповідальніст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ю) зобов’язаний повністю внести свій вклад не пізніше року після реєстрації товариства. У разі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[17, c. 97]. </w:t>
      </w: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застосування фінансових санкцій до учасників товариства з обмеженою відповідальністю, що не внесли свого вкладу до статутного капіталу, залишається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051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априклад, І. В. Спасибо-Фатєєва зазначала таке: «Внесення вкладу, будучи обов’язком учасника та існуючи в договірних правовідносинах, має виконуватися належним чином. В проти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лежному випадку має йтися про відповідальність. Натомість з ч. 3 ст. 144 ЦКУ не випливають майнові негативні наслідки, які тягне за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» [20, c. 9].</w:t>
      </w:r>
    </w:p>
    <w:p w:rsidR="009D389E" w:rsidRDefault="00051678" w:rsidP="00C41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Слідуючи цій позиції, в проекті Закону «Про товариства з обмеженою та додатковою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051678" w:rsidP="00C41A10">
      <w:pPr>
        <w:tabs>
          <w:tab w:val="left" w:pos="615"/>
        </w:tabs>
        <w:spacing w:after="0" w:line="360" w:lineRule="auto"/>
        <w:ind w:firstLine="61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41A1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389E" w:rsidRDefault="000516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ИСНОВКИ</w:t>
      </w:r>
    </w:p>
    <w:p w:rsidR="009D389E" w:rsidRDefault="009D389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389E" w:rsidRDefault="000516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Підводячи підсумки дослідження, можна зробити наступні висновки.</w:t>
      </w:r>
    </w:p>
    <w:p w:rsidR="009D389E" w:rsidRDefault="00051678" w:rsidP="00C41A10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положення Закону України</w:t>
      </w:r>
      <w:r>
        <w:rPr>
          <w:sz w:val="28"/>
          <w:szCs w:val="28"/>
          <w:lang w:val="uk-UA"/>
        </w:rPr>
        <w:t xml:space="preserve"> «Про господарські товариства», Цивільного та Господарського кодексів України щодо обов'язків учасників </w:t>
      </w:r>
      <w:r w:rsidR="00C41A10">
        <w:rPr>
          <w:sz w:val="28"/>
          <w:szCs w:val="28"/>
          <w:lang w:val="uk-UA"/>
        </w:rPr>
        <w:t>….</w:t>
      </w:r>
      <w:bookmarkStart w:id="0" w:name="_GoBack"/>
      <w:bookmarkEnd w:id="0"/>
    </w:p>
    <w:p w:rsidR="009D389E" w:rsidRDefault="009D389E">
      <w:pPr>
        <w:pStyle w:val="a3"/>
        <w:spacing w:before="0" w:after="0" w:line="360" w:lineRule="auto"/>
        <w:jc w:val="center"/>
        <w:rPr>
          <w:b/>
          <w:sz w:val="28"/>
          <w:szCs w:val="28"/>
          <w:lang w:val="uk-UA"/>
        </w:rPr>
      </w:pPr>
    </w:p>
    <w:p w:rsidR="009D389E" w:rsidRDefault="00051678">
      <w:pPr>
        <w:pStyle w:val="a3"/>
        <w:spacing w:before="0" w:after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CПИСОК ВИКОРИСТАНОЇ ЛІТЕРАТУРИ</w:t>
      </w:r>
    </w:p>
    <w:p w:rsidR="009D389E" w:rsidRDefault="009D389E">
      <w:pPr>
        <w:pStyle w:val="a3"/>
        <w:spacing w:before="0" w:after="0" w:line="360" w:lineRule="auto"/>
        <w:ind w:left="567"/>
        <w:jc w:val="center"/>
        <w:rPr>
          <w:b/>
          <w:sz w:val="28"/>
          <w:szCs w:val="28"/>
          <w:lang w:val="uk-UA"/>
        </w:rPr>
      </w:pP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право України: Загальна частина: Підруч. / І. А. Бірюков, О. Ю. Заіка, С. С. Бичкова; за ред. І. А. Бірюкова. – К.: Алерта, 2014. – 510 с.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Господарський кодекс України: Закон України від 16.01.2003 № 436- </w:t>
      </w:r>
      <w:r>
        <w:rPr>
          <w:rFonts w:ascii="Times New Roman" w:hAnsi="Times New Roman" w:cs="Times New Roman"/>
          <w:sz w:val="28"/>
          <w:szCs w:val="28"/>
          <w:lang w:val="uk-UA"/>
        </w:rPr>
        <w:t>IV / Верховна Рада України. – Відомості Верховної Ради України. – 2003. – № 18. – Ст. 144.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України: Закон України від 16.01.2003 № 435- IV / Верховна Рада України. – Відомості Верховної Ради України. – 2003. – № 40. – Ст. 356.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 України: Підруч. для студ. вищ. навч. закл. / М. К. Галянтич, С. М. Грудницька, О. М. Міхатуліна та ін. — К.: МАУП, 2005. — 424 с.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господарські товариства: Закон України від 19.09.1991 № 1576-ХІІ / Верховна Рада України. – Відомості Верховної Ра</w:t>
      </w:r>
      <w:r>
        <w:rPr>
          <w:rFonts w:ascii="Times New Roman" w:hAnsi="Times New Roman" w:cs="Times New Roman"/>
          <w:sz w:val="28"/>
          <w:szCs w:val="28"/>
          <w:lang w:val="uk-UA"/>
        </w:rPr>
        <w:t>ди України. – 1991. – № 49. – Ст. 682.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Вінник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О. М.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Корпоративні конфлікти та зловживання корпоративними правами в акціонерних товариствах: традиційні та інноваційні способи попередження та розв’язання / О. М. Вінник // 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Актуальні питання інноваційного розвитку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- 2012. - № 2. - С. 5-12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акціонерні товариства: Зак</w:t>
      </w:r>
      <w:r>
        <w:rPr>
          <w:rFonts w:ascii="Times New Roman" w:hAnsi="Times New Roman" w:cs="Times New Roman"/>
          <w:sz w:val="28"/>
          <w:szCs w:val="28"/>
          <w:lang w:val="uk-UA"/>
        </w:rPr>
        <w:t>он України від 17.09.2008 № 514-VI / Верховна Рада України. – Відомості Верховної Ради України. – 2008. – № 50. – Ст. 384.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право України: Навч. посіб. / Ю. В. Білоусов [та ін.] ; ред. Р. О. Стефанчук. – К.: Наукова думка: Прецедент, 2004. – 452 c.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Купчак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Б.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Корпоративні права та їх застосування в господарській діяльності / Б. Купчак, Л. Гачак-Величко // 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Наукові записки Львівського університету бізнесу та права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- 2010. - Вип. 5. - С. 145-155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Бутрин-Бока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Н. С.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 Правове закріплення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 "корпоративні права" за законодавством України / Н. С. Бутрин-Бока // </w:t>
      </w:r>
      <w:hyperlink r:id="rId1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Актуальні проблеми вітчизняної юриспруденції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- 2016. - Вип. 2. - С. 54-57.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Щербина В. С. Господарське право: підручник / В. С. Щербина. - К.: Юрінком Інтер, 2013. - 636 с.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інформацію: Закон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02.10.1992 № </w:t>
      </w:r>
      <w:r w:rsidRPr="00C40842">
        <w:rPr>
          <w:rFonts w:ascii="Times New Roman" w:hAnsi="Times New Roman" w:cs="Times New Roman"/>
          <w:sz w:val="28"/>
          <w:szCs w:val="28"/>
          <w:lang w:val="uk-UA"/>
        </w:rPr>
        <w:t>633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Верховна Рада України. – Відомості Верховної Ради України. – </w:t>
      </w:r>
      <w:r w:rsidRPr="00C40842">
        <w:rPr>
          <w:rFonts w:ascii="Times New Roman" w:hAnsi="Times New Roman" w:cs="Times New Roman"/>
          <w:sz w:val="28"/>
          <w:szCs w:val="28"/>
          <w:lang w:val="uk-UA"/>
        </w:rPr>
        <w:t>1992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№ </w:t>
      </w:r>
      <w:r w:rsidRPr="00C40842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перелік відомостей, що не становлять комерційної таємниці: Постанова від 09.08.1993 р. № 611/ Кабінет Міністрів України. – Урядовий кур’єр. - 1993. - № 74.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Смітюх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А. В.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Щодо співвідношення категорій "право на участь у товаристві", "права учасника господарського товариства", "корпоративні права" / А. В. Смітюх // 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Ринкова економіка: сучасна теорія і практика управління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- 2014. - Т. 1, вип. 1. - С. 147-152.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Шуба Б. В.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Корпоративні права і їх захист альтернативними способами / Б. В. Шуба, С. О. Юлдашев // </w:t>
      </w:r>
      <w:hyperlink r:id="rId1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Європейські перспективи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- 2013. - № 8. - С. 133-136.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Бабецька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І. Я.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Корпоративні правовідносини та корпоративні права: до проблеми визначення поняття / І. Я. Бабецька // </w:t>
      </w:r>
      <w:hyperlink r:id="rId1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Науково-інформаційний вісник Івано-Фра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нківського університету права імені Короля Данила Галицького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- 2013. - № 8. - С. 150-155.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Короташ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Я. О.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Фінансові санкції за невнесення вкладу до статутного капіталу товариства з обмеженою відповідальністю: історія та перспективи застосуван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/ Я. О. Короташ // </w:t>
      </w:r>
      <w:hyperlink r:id="rId2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Право та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інновації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- 2016. - № 2. - С. 97-101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Кравчук В. М. Відповідальність за порушення учасниками обов’язків з формування статутного капіталу / В. М. Кравчук // Право України. – 2007. – № 10. – С. 73–75.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Короташ Я. О. Визначення кворуму загальних зборів учас</w:t>
      </w:r>
      <w:r>
        <w:rPr>
          <w:rFonts w:ascii="Times New Roman" w:hAnsi="Times New Roman" w:cs="Times New Roman"/>
          <w:sz w:val="28"/>
          <w:szCs w:val="28"/>
          <w:lang w:val="uk-UA"/>
        </w:rPr>
        <w:t>ників товариства з обмеженою відповідальністю у випадку невнесення учасником товариства свого вкладу до статутного капіталу / Я. О. Короташ // Актуальні проблеми держави і права. – 2014. – №71. – С. 280–288.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Спасибо-Фатєєва І. В. Права учасників товариства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обмеженою відповідальністю / І. В. Спасибо-Фатєєва // Укр. комерц. право. – 2012. – №12. – С. 7–13.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Марущак Я.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Корпоративні суб’єктивні права в комерційних товариствах / Я. Марущак // </w:t>
      </w:r>
      <w:proofErr w:type="spellStart"/>
      <w:r>
        <w:fldChar w:fldCharType="begin"/>
      </w:r>
      <w:r>
        <w:instrText>HYPERLINK</w:instrText>
      </w:r>
      <w:r w:rsidRPr="00C40842">
        <w:rPr>
          <w:lang w:val="uk-UA"/>
        </w:rPr>
        <w:instrText xml:space="preserve"> "</w:instrText>
      </w:r>
      <w:r>
        <w:instrText>http</w:instrText>
      </w:r>
      <w:r w:rsidRPr="00C40842">
        <w:rPr>
          <w:lang w:val="uk-UA"/>
        </w:rPr>
        <w:instrText>://</w:instrText>
      </w:r>
      <w:r>
        <w:instrText>www</w:instrText>
      </w:r>
      <w:r w:rsidRPr="00C40842">
        <w:rPr>
          <w:lang w:val="uk-UA"/>
        </w:rPr>
        <w:instrText>.</w:instrText>
      </w:r>
      <w:r>
        <w:instrText>irbis</w:instrText>
      </w:r>
      <w:r w:rsidRPr="00C40842">
        <w:rPr>
          <w:lang w:val="uk-UA"/>
        </w:rPr>
        <w:instrText>-</w:instrText>
      </w:r>
      <w:r>
        <w:instrText>nbuv</w:instrText>
      </w:r>
      <w:r w:rsidRPr="00C40842">
        <w:rPr>
          <w:lang w:val="uk-UA"/>
        </w:rPr>
        <w:instrText>.</w:instrText>
      </w:r>
      <w:r>
        <w:instrText>gov</w:instrText>
      </w:r>
      <w:r w:rsidRPr="00C40842">
        <w:rPr>
          <w:lang w:val="uk-UA"/>
        </w:rPr>
        <w:instrText>.</w:instrText>
      </w:r>
      <w:r>
        <w:instrText>ua</w:instrText>
      </w:r>
      <w:r w:rsidRPr="00C40842">
        <w:rPr>
          <w:lang w:val="uk-UA"/>
        </w:rPr>
        <w:instrText>/</w:instrText>
      </w:r>
      <w:r>
        <w:instrText>cgi</w:instrText>
      </w:r>
      <w:r w:rsidRPr="00C40842">
        <w:rPr>
          <w:lang w:val="uk-UA"/>
        </w:rPr>
        <w:instrText>-</w:instrText>
      </w:r>
      <w:r>
        <w:instrText>bin</w:instrText>
      </w:r>
      <w:r w:rsidRPr="00C40842">
        <w:rPr>
          <w:lang w:val="uk-UA"/>
        </w:rPr>
        <w:instrText>/</w:instrText>
      </w:r>
      <w:r>
        <w:instrText>irbis</w:instrText>
      </w:r>
      <w:r w:rsidRPr="00C40842">
        <w:rPr>
          <w:lang w:val="uk-UA"/>
        </w:rPr>
        <w:instrText>_</w:instrText>
      </w:r>
      <w:r>
        <w:instrText>nbu</w:instrText>
      </w:r>
      <w:r>
        <w:instrText>v</w:instrText>
      </w:r>
      <w:r w:rsidRPr="00C40842">
        <w:rPr>
          <w:lang w:val="uk-UA"/>
        </w:rPr>
        <w:instrText>/</w:instrText>
      </w:r>
      <w:r>
        <w:instrText>cgiirbis</w:instrText>
      </w:r>
      <w:r w:rsidRPr="00C40842">
        <w:rPr>
          <w:lang w:val="uk-UA"/>
        </w:rPr>
        <w:instrText>_64.</w:instrText>
      </w:r>
      <w:r>
        <w:instrText>exe</w:instrText>
      </w:r>
      <w:r w:rsidRPr="00C40842">
        <w:rPr>
          <w:lang w:val="uk-UA"/>
        </w:rPr>
        <w:instrText>?</w:instrText>
      </w:r>
      <w:r>
        <w:instrText>Z</w:instrText>
      </w:r>
      <w:r w:rsidRPr="00C40842">
        <w:rPr>
          <w:lang w:val="uk-UA"/>
        </w:rPr>
        <w:instrText>21</w:instrText>
      </w:r>
      <w:r>
        <w:instrText>ID</w:instrText>
      </w:r>
      <w:r w:rsidRPr="00C40842">
        <w:rPr>
          <w:lang w:val="uk-UA"/>
        </w:rPr>
        <w:instrText>=&amp;</w:instrText>
      </w:r>
      <w:r>
        <w:instrText>I</w:instrText>
      </w:r>
      <w:r w:rsidRPr="00C40842">
        <w:rPr>
          <w:lang w:val="uk-UA"/>
        </w:rPr>
        <w:instrText>21</w:instrText>
      </w:r>
      <w:r>
        <w:instrText>DBN</w:instrText>
      </w:r>
      <w:r w:rsidRPr="00C40842">
        <w:rPr>
          <w:lang w:val="uk-UA"/>
        </w:rPr>
        <w:instrText>=</w:instrText>
      </w:r>
      <w:r>
        <w:instrText>UJRN</w:instrText>
      </w:r>
      <w:r w:rsidRPr="00C40842">
        <w:rPr>
          <w:lang w:val="uk-UA"/>
        </w:rPr>
        <w:instrText>&amp;</w:instrText>
      </w:r>
      <w:r>
        <w:instrText>P</w:instrText>
      </w:r>
      <w:r w:rsidRPr="00C40842">
        <w:rPr>
          <w:lang w:val="uk-UA"/>
        </w:rPr>
        <w:instrText>21</w:instrText>
      </w:r>
      <w:r>
        <w:instrText>DBN</w:instrText>
      </w:r>
      <w:r w:rsidRPr="00C40842">
        <w:rPr>
          <w:lang w:val="uk-UA"/>
        </w:rPr>
        <w:instrText>=</w:instrText>
      </w:r>
      <w:r>
        <w:instrText>UJRN</w:instrText>
      </w:r>
      <w:r w:rsidRPr="00C40842">
        <w:rPr>
          <w:lang w:val="uk-UA"/>
        </w:rPr>
        <w:instrText>&amp;</w:instrText>
      </w:r>
      <w:r>
        <w:instrText>S</w:instrText>
      </w:r>
      <w:r w:rsidRPr="00C40842">
        <w:rPr>
          <w:lang w:val="uk-UA"/>
        </w:rPr>
        <w:instrText>21</w:instrText>
      </w:r>
      <w:r>
        <w:instrText>STN</w:instrText>
      </w:r>
      <w:r w:rsidRPr="00C40842">
        <w:rPr>
          <w:lang w:val="uk-UA"/>
        </w:rPr>
        <w:instrText>=1&amp;</w:instrText>
      </w:r>
      <w:r>
        <w:instrText>S</w:instrText>
      </w:r>
      <w:r w:rsidRPr="00C40842">
        <w:rPr>
          <w:lang w:val="uk-UA"/>
        </w:rPr>
        <w:instrText>21</w:instrText>
      </w:r>
      <w:r>
        <w:instrText>REF</w:instrText>
      </w:r>
      <w:r w:rsidRPr="00C40842">
        <w:rPr>
          <w:lang w:val="uk-UA"/>
        </w:rPr>
        <w:instrText>=10&amp;</w:instrText>
      </w:r>
      <w:r>
        <w:instrText>S</w:instrText>
      </w:r>
      <w:r w:rsidRPr="00C40842">
        <w:rPr>
          <w:lang w:val="uk-UA"/>
        </w:rPr>
        <w:instrText>21</w:instrText>
      </w:r>
      <w:r>
        <w:instrText>FMT</w:instrText>
      </w:r>
      <w:r w:rsidRPr="00C40842">
        <w:rPr>
          <w:lang w:val="uk-UA"/>
        </w:rPr>
        <w:instrText>=</w:instrText>
      </w:r>
      <w:r>
        <w:instrText>JUU</w:instrText>
      </w:r>
      <w:r w:rsidRPr="00C40842">
        <w:rPr>
          <w:lang w:val="uk-UA"/>
        </w:rPr>
        <w:instrText>_</w:instrText>
      </w:r>
      <w:r>
        <w:instrText>all</w:instrText>
      </w:r>
      <w:r w:rsidRPr="00C40842">
        <w:rPr>
          <w:lang w:val="uk-UA"/>
        </w:rPr>
        <w:instrText>&amp;</w:instrText>
      </w:r>
      <w:r>
        <w:instrText>C</w:instrText>
      </w:r>
      <w:r w:rsidRPr="00C40842">
        <w:rPr>
          <w:lang w:val="uk-UA"/>
        </w:rPr>
        <w:instrText>21</w:instrText>
      </w:r>
      <w:r>
        <w:instrText>COM</w:instrText>
      </w:r>
      <w:r w:rsidRPr="00C40842">
        <w:rPr>
          <w:lang w:val="uk-UA"/>
        </w:rPr>
        <w:instrText>=</w:instrText>
      </w:r>
      <w:r>
        <w:instrText>S</w:instrText>
      </w:r>
      <w:r w:rsidRPr="00C40842">
        <w:rPr>
          <w:lang w:val="uk-UA"/>
        </w:rPr>
        <w:instrText>&amp;</w:instrText>
      </w:r>
      <w:r>
        <w:instrText>S</w:instrText>
      </w:r>
      <w:r w:rsidRPr="00C40842">
        <w:rPr>
          <w:lang w:val="uk-UA"/>
        </w:rPr>
        <w:instrText>21</w:instrText>
      </w:r>
      <w:r>
        <w:instrText>CNR</w:instrText>
      </w:r>
      <w:r w:rsidRPr="00C40842">
        <w:rPr>
          <w:lang w:val="uk-UA"/>
        </w:rPr>
        <w:instrText>=20&amp;</w:instrText>
      </w:r>
      <w:r>
        <w:instrText>S</w:instrText>
      </w:r>
      <w:r w:rsidRPr="00C40842">
        <w:rPr>
          <w:lang w:val="uk-UA"/>
        </w:rPr>
        <w:instrText>21</w:instrText>
      </w:r>
      <w:r>
        <w:instrText>P</w:instrText>
      </w:r>
      <w:r w:rsidRPr="00C40842">
        <w:rPr>
          <w:lang w:val="uk-UA"/>
        </w:rPr>
        <w:instrText>01=0&amp;</w:instrText>
      </w:r>
      <w:r>
        <w:instrText>S</w:instrText>
      </w:r>
      <w:r w:rsidRPr="00C40842">
        <w:rPr>
          <w:lang w:val="uk-UA"/>
        </w:rPr>
        <w:instrText>21</w:instrText>
      </w:r>
      <w:r>
        <w:instrText>P</w:instrText>
      </w:r>
      <w:r w:rsidRPr="00C40842">
        <w:rPr>
          <w:lang w:val="uk-UA"/>
        </w:rPr>
        <w:instrText>02=0&amp;</w:instrText>
      </w:r>
      <w:r>
        <w:instrText>S</w:instrText>
      </w:r>
      <w:r w:rsidRPr="00C40842">
        <w:rPr>
          <w:lang w:val="uk-UA"/>
        </w:rPr>
        <w:instrText>21</w:instrText>
      </w:r>
      <w:r>
        <w:instrText>P</w:instrText>
      </w:r>
      <w:r w:rsidRPr="00C40842">
        <w:rPr>
          <w:lang w:val="uk-UA"/>
        </w:rPr>
        <w:instrText>03=</w:instrText>
      </w:r>
      <w:r>
        <w:instrText>IJ</w:instrText>
      </w:r>
      <w:r w:rsidRPr="00C40842">
        <w:rPr>
          <w:lang w:val="uk-UA"/>
        </w:rPr>
        <w:instrText>=&amp;</w:instrText>
      </w:r>
      <w:r>
        <w:instrText>S</w:instrText>
      </w:r>
      <w:r w:rsidRPr="00C40842">
        <w:rPr>
          <w:lang w:val="uk-UA"/>
        </w:rPr>
        <w:instrText>21</w:instrText>
      </w:r>
      <w:r>
        <w:instrText>COLORTERMS</w:instrText>
      </w:r>
      <w:r w:rsidRPr="00C40842">
        <w:rPr>
          <w:lang w:val="uk-UA"/>
        </w:rPr>
        <w:instrText>=1&amp;</w:instrText>
      </w:r>
      <w:r>
        <w:instrText>S</w:instrText>
      </w:r>
      <w:r w:rsidRPr="00C40842">
        <w:rPr>
          <w:lang w:val="uk-UA"/>
        </w:rPr>
        <w:instrText>21</w:instrText>
      </w:r>
      <w:r>
        <w:instrText>STR</w:instrText>
      </w:r>
      <w:r w:rsidRPr="00C40842">
        <w:rPr>
          <w:lang w:val="uk-UA"/>
        </w:rPr>
        <w:instrText>=</w:instrText>
      </w:r>
      <w:r>
        <w:instrText>EJ</w:instrText>
      </w:r>
      <w:r w:rsidRPr="00C40842">
        <w:rPr>
          <w:lang w:val="uk-UA"/>
        </w:rPr>
        <w:instrText>000130" \</w:instrText>
      </w:r>
      <w:r>
        <w:instrText>o</w:instrText>
      </w:r>
      <w:r w:rsidRPr="00C40842">
        <w:rPr>
          <w:lang w:val="uk-UA"/>
        </w:rPr>
        <w:instrText xml:space="preserve"> "Періодичне видання"</w:instrText>
      </w:r>
      <w:r>
        <w:fldChar w:fldCharType="separate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Evropsky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politicky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a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pravni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diskurz</w:t>
      </w:r>
      <w:proofErr w:type="spellEnd"/>
      <w: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 - 2016. - Vol. 3, Iss. 5. - С</w:t>
      </w:r>
      <w:r>
        <w:rPr>
          <w:rFonts w:ascii="Times New Roman" w:hAnsi="Times New Roman" w:cs="Times New Roman"/>
          <w:sz w:val="28"/>
          <w:szCs w:val="28"/>
          <w:lang w:val="uk-UA"/>
        </w:rPr>
        <w:t>. 123-127.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Цікало В.В. Правові наслідки недотримання умов договору про здійснення прав учасників господарського товариства / В. Цікало //Цивільне право і процес. – 2017. - № 3 – С. 54-58.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Вінник О. Акціонерні угоди / О. Вінник // Юридична Україна. – 2010.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№ 5. – С. 20–27.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Панченко М. І. Цивільне право України: </w:t>
        </w:r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Навч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. </w:t>
        </w:r>
        <w:proofErr w:type="spell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посіб</w:t>
        </w:r>
        <w:proofErr w:type="spell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. / М. І. Панченко. - 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К.: Знання, 2005. — 583 с.</w:t>
        </w:r>
      </w:hyperlink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Цивільне право України: Академічний курс: Підруч.: У 2 т. / За заг. ред. Я. М. Шевченко. - Вид. 2-ге, доп. і перероб. - К.: Видавничий Дім «Ін Юре», 2006. - Т. 1. Загальна частина. - 696 с.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Юркевич Ю. Договір про реалізацію п</w:t>
      </w:r>
      <w:r>
        <w:rPr>
          <w:rFonts w:ascii="Times New Roman" w:hAnsi="Times New Roman" w:cs="Times New Roman"/>
          <w:sz w:val="28"/>
          <w:szCs w:val="28"/>
          <w:lang w:val="uk-UA"/>
        </w:rPr>
        <w:t>рав та виконання обов’язків між засновниками (учасниками) господарських товариств / Ю. Юркевич // Підприємництво, господарство і право. – 2017. – № 1. – С. 88–91.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Господарське право України : підручник : у 2 ч. / [Андрєєва О. Б., Жорнокуй Ю. М., Гетманець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П. та ін.]. – Х. : Харк. нац. ун-т внутр. справ, 2014. – Ч. 1. - 340 с.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Жорнокуй Ю.М. Окремі питання застосування категорії «акціонерний договір» / Ю.М. Жорнокуй // Корпоративні правочини : матеріали Всеукраїнської науково-практичної конференції (27–28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2013 року). – Івано-Франківськ : Прикарпатський національний університет імені Василя Стефаника, 2013. – С. 82–87.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Сигидин М.М. До питання про правові наслідки невиконання корпоративного договору / М.М. Сигидин // Корпоративне право України та 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ших європейських країн: шляхи гармонізації : збірник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наукових праць за матеріалами Міжнародної науково-практичної конференції (2–3 жовтня 2015 р., м. Івано-Франківськ) / НДІ приватного права і підприємництва ім. академіка Ф.Г. Бурчака НАПрН України ; за ре</w:t>
      </w:r>
      <w:r>
        <w:rPr>
          <w:rFonts w:ascii="Times New Roman" w:hAnsi="Times New Roman" w:cs="Times New Roman"/>
          <w:sz w:val="28"/>
          <w:szCs w:val="28"/>
          <w:lang w:val="uk-UA"/>
        </w:rPr>
        <w:t>д. д-ра юрид. наук, акад. НАПрН України В.В. Луця. – Івано-Франківськ, 2015. – С. 220–225.</w:t>
      </w:r>
    </w:p>
    <w:p w:rsidR="009D389E" w:rsidRDefault="00051678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Марущак Я.С. Суб’єктивні корпоративні обов’язки в Україні / Я.С. Марущак // Правова держава. - 2016. - Вип. 24. - С. 121-124.</w:t>
      </w:r>
    </w:p>
    <w:p w:rsidR="009D389E" w:rsidRDefault="009D38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sectPr w:rsidR="009D389E">
      <w:footerReference w:type="default" r:id="rId24"/>
      <w:pgSz w:w="11906" w:h="16838"/>
      <w:pgMar w:top="1134" w:right="850" w:bottom="1134" w:left="1701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78" w:rsidRDefault="00051678">
      <w:pPr>
        <w:spacing w:after="0" w:line="240" w:lineRule="auto"/>
      </w:pPr>
      <w:r>
        <w:separator/>
      </w:r>
    </w:p>
  </w:endnote>
  <w:endnote w:type="continuationSeparator" w:id="0">
    <w:p w:rsidR="00051678" w:rsidRDefault="000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9E" w:rsidRDefault="0005167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:rsidR="009D389E" w:rsidRDefault="009D38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78" w:rsidRDefault="00051678">
      <w:pPr>
        <w:spacing w:after="0" w:line="240" w:lineRule="auto"/>
      </w:pPr>
      <w:r>
        <w:separator/>
      </w:r>
    </w:p>
  </w:footnote>
  <w:footnote w:type="continuationSeparator" w:id="0">
    <w:p w:rsidR="00051678" w:rsidRDefault="0005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1859"/>
    <w:multiLevelType w:val="hybridMultilevel"/>
    <w:tmpl w:val="AAF2B2FA"/>
    <w:lvl w:ilvl="0" w:tplc="90A8F30E">
      <w:start w:val="1"/>
      <w:numFmt w:val="decimal"/>
      <w:lvlText w:val="%1."/>
      <w:lvlJc w:val="left"/>
      <w:pPr>
        <w:ind w:left="720" w:hanging="360"/>
      </w:pPr>
    </w:lvl>
    <w:lvl w:ilvl="1" w:tplc="2B5AAB10">
      <w:start w:val="1"/>
      <w:numFmt w:val="lowerLetter"/>
      <w:lvlText w:val="%2."/>
      <w:lvlJc w:val="left"/>
      <w:pPr>
        <w:ind w:left="1440" w:hanging="360"/>
      </w:pPr>
    </w:lvl>
    <w:lvl w:ilvl="2" w:tplc="F86AA434">
      <w:start w:val="1"/>
      <w:numFmt w:val="lowerRoman"/>
      <w:lvlText w:val="%3."/>
      <w:lvlJc w:val="right"/>
      <w:pPr>
        <w:ind w:left="2160" w:hanging="180"/>
      </w:pPr>
    </w:lvl>
    <w:lvl w:ilvl="3" w:tplc="E98E79B0">
      <w:start w:val="1"/>
      <w:numFmt w:val="decimal"/>
      <w:lvlText w:val="%4."/>
      <w:lvlJc w:val="left"/>
      <w:pPr>
        <w:ind w:left="2880" w:hanging="360"/>
      </w:pPr>
    </w:lvl>
    <w:lvl w:ilvl="4" w:tplc="E994632E">
      <w:start w:val="1"/>
      <w:numFmt w:val="lowerLetter"/>
      <w:lvlText w:val="%5."/>
      <w:lvlJc w:val="left"/>
      <w:pPr>
        <w:ind w:left="3600" w:hanging="360"/>
      </w:pPr>
    </w:lvl>
    <w:lvl w:ilvl="5" w:tplc="50181E9C">
      <w:start w:val="1"/>
      <w:numFmt w:val="lowerRoman"/>
      <w:lvlText w:val="%6."/>
      <w:lvlJc w:val="right"/>
      <w:pPr>
        <w:ind w:left="4320" w:hanging="180"/>
      </w:pPr>
    </w:lvl>
    <w:lvl w:ilvl="6" w:tplc="A670C39A">
      <w:start w:val="1"/>
      <w:numFmt w:val="decimal"/>
      <w:lvlText w:val="%7."/>
      <w:lvlJc w:val="left"/>
      <w:pPr>
        <w:ind w:left="5040" w:hanging="360"/>
      </w:pPr>
    </w:lvl>
    <w:lvl w:ilvl="7" w:tplc="6A76D254">
      <w:start w:val="1"/>
      <w:numFmt w:val="lowerLetter"/>
      <w:lvlText w:val="%8."/>
      <w:lvlJc w:val="left"/>
      <w:pPr>
        <w:ind w:left="5760" w:hanging="360"/>
      </w:pPr>
    </w:lvl>
    <w:lvl w:ilvl="8" w:tplc="8B32A5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B4F"/>
    <w:multiLevelType w:val="hybridMultilevel"/>
    <w:tmpl w:val="FCF86A3C"/>
    <w:lvl w:ilvl="0" w:tplc="06AE8F5C">
      <w:start w:val="1"/>
      <w:numFmt w:val="decimal"/>
      <w:lvlText w:val="%1."/>
      <w:lvlJc w:val="left"/>
      <w:pPr>
        <w:ind w:left="720" w:hanging="360"/>
      </w:pPr>
    </w:lvl>
    <w:lvl w:ilvl="1" w:tplc="2E62D75C">
      <w:start w:val="1"/>
      <w:numFmt w:val="lowerLetter"/>
      <w:lvlText w:val="%2."/>
      <w:lvlJc w:val="left"/>
      <w:pPr>
        <w:ind w:left="1440" w:hanging="360"/>
      </w:pPr>
    </w:lvl>
    <w:lvl w:ilvl="2" w:tplc="62FE392A">
      <w:start w:val="1"/>
      <w:numFmt w:val="lowerRoman"/>
      <w:lvlText w:val="%3."/>
      <w:lvlJc w:val="right"/>
      <w:pPr>
        <w:ind w:left="2160" w:hanging="180"/>
      </w:pPr>
    </w:lvl>
    <w:lvl w:ilvl="3" w:tplc="4C1652D2">
      <w:start w:val="1"/>
      <w:numFmt w:val="decimal"/>
      <w:lvlText w:val="%4."/>
      <w:lvlJc w:val="left"/>
      <w:pPr>
        <w:ind w:left="2880" w:hanging="360"/>
      </w:pPr>
    </w:lvl>
    <w:lvl w:ilvl="4" w:tplc="A3405D0E">
      <w:start w:val="1"/>
      <w:numFmt w:val="lowerLetter"/>
      <w:lvlText w:val="%5."/>
      <w:lvlJc w:val="left"/>
      <w:pPr>
        <w:ind w:left="3600" w:hanging="360"/>
      </w:pPr>
    </w:lvl>
    <w:lvl w:ilvl="5" w:tplc="4C84BF3E">
      <w:start w:val="1"/>
      <w:numFmt w:val="lowerRoman"/>
      <w:lvlText w:val="%6."/>
      <w:lvlJc w:val="right"/>
      <w:pPr>
        <w:ind w:left="4320" w:hanging="180"/>
      </w:pPr>
    </w:lvl>
    <w:lvl w:ilvl="6" w:tplc="64DCB918">
      <w:start w:val="1"/>
      <w:numFmt w:val="decimal"/>
      <w:lvlText w:val="%7."/>
      <w:lvlJc w:val="left"/>
      <w:pPr>
        <w:ind w:left="5040" w:hanging="360"/>
      </w:pPr>
    </w:lvl>
    <w:lvl w:ilvl="7" w:tplc="6A304AE4">
      <w:start w:val="1"/>
      <w:numFmt w:val="lowerLetter"/>
      <w:lvlText w:val="%8."/>
      <w:lvlJc w:val="left"/>
      <w:pPr>
        <w:ind w:left="5760" w:hanging="360"/>
      </w:pPr>
    </w:lvl>
    <w:lvl w:ilvl="8" w:tplc="82B25A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938"/>
    <w:multiLevelType w:val="multilevel"/>
    <w:tmpl w:val="633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5CB035D"/>
    <w:multiLevelType w:val="multilevel"/>
    <w:tmpl w:val="687E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6AE5DE8"/>
    <w:multiLevelType w:val="hybridMultilevel"/>
    <w:tmpl w:val="BD18F2C6"/>
    <w:lvl w:ilvl="0" w:tplc="22F2F606">
      <w:start w:val="1"/>
      <w:numFmt w:val="decimal"/>
      <w:lvlText w:val="%1."/>
      <w:lvlJc w:val="left"/>
      <w:pPr>
        <w:ind w:left="2487" w:hanging="360"/>
      </w:pPr>
    </w:lvl>
    <w:lvl w:ilvl="1" w:tplc="DC204644">
      <w:start w:val="1"/>
      <w:numFmt w:val="lowerLetter"/>
      <w:lvlText w:val="%2."/>
      <w:lvlJc w:val="left"/>
      <w:pPr>
        <w:ind w:left="1440" w:hanging="360"/>
      </w:pPr>
    </w:lvl>
    <w:lvl w:ilvl="2" w:tplc="186A14AE">
      <w:start w:val="1"/>
      <w:numFmt w:val="lowerRoman"/>
      <w:lvlText w:val="%3."/>
      <w:lvlJc w:val="right"/>
      <w:pPr>
        <w:ind w:left="2160" w:hanging="180"/>
      </w:pPr>
    </w:lvl>
    <w:lvl w:ilvl="3" w:tplc="A5B6C0F8">
      <w:start w:val="1"/>
      <w:numFmt w:val="decimal"/>
      <w:lvlText w:val="%4."/>
      <w:lvlJc w:val="left"/>
      <w:pPr>
        <w:ind w:left="2880" w:hanging="360"/>
      </w:pPr>
    </w:lvl>
    <w:lvl w:ilvl="4" w:tplc="7BE6BCF0">
      <w:start w:val="1"/>
      <w:numFmt w:val="lowerLetter"/>
      <w:lvlText w:val="%5."/>
      <w:lvlJc w:val="left"/>
      <w:pPr>
        <w:ind w:left="3600" w:hanging="360"/>
      </w:pPr>
    </w:lvl>
    <w:lvl w:ilvl="5" w:tplc="D668FB2C">
      <w:start w:val="1"/>
      <w:numFmt w:val="lowerRoman"/>
      <w:lvlText w:val="%6."/>
      <w:lvlJc w:val="right"/>
      <w:pPr>
        <w:ind w:left="4320" w:hanging="180"/>
      </w:pPr>
    </w:lvl>
    <w:lvl w:ilvl="6" w:tplc="57500B8A">
      <w:start w:val="1"/>
      <w:numFmt w:val="decimal"/>
      <w:lvlText w:val="%7."/>
      <w:lvlJc w:val="left"/>
      <w:pPr>
        <w:ind w:left="5040" w:hanging="360"/>
      </w:pPr>
    </w:lvl>
    <w:lvl w:ilvl="7" w:tplc="19E6E63E">
      <w:start w:val="1"/>
      <w:numFmt w:val="lowerLetter"/>
      <w:lvlText w:val="%8."/>
      <w:lvlJc w:val="left"/>
      <w:pPr>
        <w:ind w:left="5760" w:hanging="360"/>
      </w:pPr>
    </w:lvl>
    <w:lvl w:ilvl="8" w:tplc="66B23B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612"/>
    <w:multiLevelType w:val="multilevel"/>
    <w:tmpl w:val="ED1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7D11EFB"/>
    <w:multiLevelType w:val="hybridMultilevel"/>
    <w:tmpl w:val="784A3D5E"/>
    <w:lvl w:ilvl="0" w:tplc="961E849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A5C291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CB3C573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5EF429F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CD2811A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45A8AC9E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B330EDC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BEC65C5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607E3536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 w15:restartNumberingAfterBreak="0">
    <w:nsid w:val="478B6852"/>
    <w:multiLevelType w:val="multilevel"/>
    <w:tmpl w:val="9B1CEB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1BE1CF0"/>
    <w:multiLevelType w:val="multilevel"/>
    <w:tmpl w:val="D26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E3F5B55"/>
    <w:multiLevelType w:val="hybridMultilevel"/>
    <w:tmpl w:val="4BA2DB7C"/>
    <w:lvl w:ilvl="0" w:tplc="DEDAE7F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266EA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D34C57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D6BD1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B9C4C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A7842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B063A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27E51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BAA4EF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5F714FD8"/>
    <w:multiLevelType w:val="multilevel"/>
    <w:tmpl w:val="CA1AE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D504345"/>
    <w:multiLevelType w:val="hybridMultilevel"/>
    <w:tmpl w:val="F90E519A"/>
    <w:lvl w:ilvl="0" w:tplc="0BFE72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E4E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0EEB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6648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44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8E4B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9AD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4E3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214D7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9F"/>
    <w:rsid w:val="000417A9"/>
    <w:rsid w:val="00051678"/>
    <w:rsid w:val="000A02F8"/>
    <w:rsid w:val="000D5A9F"/>
    <w:rsid w:val="00110DA5"/>
    <w:rsid w:val="00123639"/>
    <w:rsid w:val="00171510"/>
    <w:rsid w:val="001752AF"/>
    <w:rsid w:val="001B36B6"/>
    <w:rsid w:val="00213D13"/>
    <w:rsid w:val="00237E09"/>
    <w:rsid w:val="00275340"/>
    <w:rsid w:val="002A7E30"/>
    <w:rsid w:val="002C6C3A"/>
    <w:rsid w:val="002F223A"/>
    <w:rsid w:val="002F3BF9"/>
    <w:rsid w:val="002F64F6"/>
    <w:rsid w:val="00396517"/>
    <w:rsid w:val="003A1D7F"/>
    <w:rsid w:val="0040630E"/>
    <w:rsid w:val="00456388"/>
    <w:rsid w:val="005A6D28"/>
    <w:rsid w:val="00633660"/>
    <w:rsid w:val="00634E20"/>
    <w:rsid w:val="006C173D"/>
    <w:rsid w:val="0071180E"/>
    <w:rsid w:val="0073137B"/>
    <w:rsid w:val="007A149E"/>
    <w:rsid w:val="007C75AA"/>
    <w:rsid w:val="00844543"/>
    <w:rsid w:val="00847E34"/>
    <w:rsid w:val="00856A37"/>
    <w:rsid w:val="00884918"/>
    <w:rsid w:val="008B346B"/>
    <w:rsid w:val="008C52E5"/>
    <w:rsid w:val="008F4DC9"/>
    <w:rsid w:val="008F52DE"/>
    <w:rsid w:val="008F7D1B"/>
    <w:rsid w:val="009004FA"/>
    <w:rsid w:val="00907219"/>
    <w:rsid w:val="0096072F"/>
    <w:rsid w:val="009B7916"/>
    <w:rsid w:val="009D389E"/>
    <w:rsid w:val="00A0032C"/>
    <w:rsid w:val="00A53558"/>
    <w:rsid w:val="00A60F5F"/>
    <w:rsid w:val="00B425E6"/>
    <w:rsid w:val="00B7338C"/>
    <w:rsid w:val="00B80078"/>
    <w:rsid w:val="00BC4290"/>
    <w:rsid w:val="00C05412"/>
    <w:rsid w:val="00C177FF"/>
    <w:rsid w:val="00C214D0"/>
    <w:rsid w:val="00C40842"/>
    <w:rsid w:val="00C41A10"/>
    <w:rsid w:val="00C513AD"/>
    <w:rsid w:val="00C94D2D"/>
    <w:rsid w:val="00D11DFD"/>
    <w:rsid w:val="00D1437C"/>
    <w:rsid w:val="00D153B4"/>
    <w:rsid w:val="00DF6FF4"/>
    <w:rsid w:val="00E72072"/>
    <w:rsid w:val="00E8073B"/>
    <w:rsid w:val="00EB7467"/>
    <w:rsid w:val="00F5015F"/>
    <w:rsid w:val="00F55ED3"/>
    <w:rsid w:val="00FA1A4D"/>
    <w:rsid w:val="00F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3857"/>
  <w15:docId w15:val="{05636FBC-A2F1-4090-9039-D2307B1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2%D1%96%D0%BD%D0%BD%D0%B8%D0%BA%20%D0%9E$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269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0%D0%B1%D0%B5%D1%86%D1%8C%D0%BA%D0%B0%20%D0%86$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3%D1%82%D1%80%D0%B8%D0%BD-%D0%91%D0%BE%D0%BA%D0%B0%20%D0%9D$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34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8%D1%83%D0%B1%D0%B0%20%D0%91$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1%80%D0%BE%D1%82%D0%B0%D1%88%20%D0%AF$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4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950" TargetMode="External"/><Relationship Id="rId23" Type="http://schemas.openxmlformats.org/officeDocument/2006/relationships/hyperlink" Target="http://the-law.at.ua/load/juridichna_literatura/civilne_pravo_ukrajini/panchenko_m_i_civilne_pravo_ukrajini_navch_posib_k_znannja_2005_583_s/20-1-0-75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1%83%D0%BF%D1%87%D0%B0%D0%BA%20%D0%91$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811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C%D1%96%D1%82%D1%8E%D1%85%20%D0%90$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0%D1%83%D1%89%D0%B0%D0%BA%20%D0%AF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456F02-B078-4BE2-B67F-E09CC21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Смолярчук</cp:lastModifiedBy>
  <cp:revision>3</cp:revision>
  <dcterms:created xsi:type="dcterms:W3CDTF">2018-11-11T14:04:00Z</dcterms:created>
  <dcterms:modified xsi:type="dcterms:W3CDTF">2018-11-11T14:07:00Z</dcterms:modified>
</cp:coreProperties>
</file>