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5B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ЗМІСТ</w:t>
      </w:r>
    </w:p>
    <w:p w:rsidR="007F6E5B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F6E5B" w:rsidRPr="006A7DC6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ВСТУП……………………………………………………………………...3</w:t>
      </w:r>
    </w:p>
    <w:p w:rsidR="007F6E5B" w:rsidRPr="006A7DC6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РОЗДІЛ 1. </w:t>
      </w:r>
      <w:r w:rsidR="006A7DC6"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Витоки та розвиток управлінської діяльності органами і установами виконання покарань </w:t>
      </w: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</w:t>
      </w:r>
      <w:r w:rsidR="00B069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</w:t>
      </w: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…….5</w:t>
      </w:r>
    </w:p>
    <w:p w:rsidR="007F6E5B" w:rsidRPr="006A7DC6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РОЗДІЛ 2. </w:t>
      </w:r>
      <w:r w:rsidR="006A7DC6"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Керівник установи виконання покарань та засади прийняття управлінських рішень </w:t>
      </w:r>
      <w:r w:rsidR="00B069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…………………………………………………………..8</w:t>
      </w:r>
    </w:p>
    <w:p w:rsidR="006A7DC6" w:rsidRPr="006A7DC6" w:rsidRDefault="007F6E5B" w:rsidP="006A7DC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РОЗДІЛ 3. </w:t>
      </w:r>
      <w:r w:rsidR="006A7DC6"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Основні методи управління в ДКВС України</w:t>
      </w:r>
      <w:r w:rsidR="00B069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……………1</w:t>
      </w:r>
      <w:r w:rsidR="00A56A3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</w:t>
      </w:r>
    </w:p>
    <w:p w:rsidR="007F6E5B" w:rsidRPr="006A7DC6" w:rsidRDefault="006A7DC6" w:rsidP="006A7DC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РОЗДІЛ 4. Особливості організаційних форм управління в установах виконання покарань</w:t>
      </w:r>
      <w:r w:rsidR="00A56A3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……………………………………………………………19</w:t>
      </w:r>
    </w:p>
    <w:p w:rsidR="007F6E5B" w:rsidRPr="006A7DC6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ВИСНОВКИ…………………………………………….………………..2</w:t>
      </w:r>
      <w:r w:rsidR="00A56A3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</w:t>
      </w:r>
    </w:p>
    <w:p w:rsidR="007F6E5B" w:rsidRPr="006A7DC6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ДЖЕРЕЛ……………………………</w:t>
      </w:r>
      <w:r w:rsidR="00A56A3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</w:t>
      </w:r>
      <w:r w:rsidRPr="006A7D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..2</w:t>
      </w:r>
      <w:r w:rsidR="00A56A3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</w:t>
      </w:r>
    </w:p>
    <w:p w:rsidR="007F6E5B" w:rsidRPr="006A7DC6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F6E5B" w:rsidRPr="006A7DC6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F6E5B" w:rsidRDefault="007F6E5B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A7DC6" w:rsidRPr="006A7DC6" w:rsidRDefault="006A7DC6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75B5E" w:rsidRPr="006A7DC6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75B5E" w:rsidRPr="00AE2F79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ВСТУП</w:t>
      </w:r>
    </w:p>
    <w:p w:rsidR="00775B5E" w:rsidRPr="00AE2F79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A01C7" w:rsidRPr="004A49F3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Актуальність теми.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F31D0" w:rsidRPr="000F31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Наукове управління </w:t>
      </w:r>
      <w:r w:rsidR="000F31D0"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орган</w:t>
      </w:r>
      <w:r w:rsidR="000F31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ами</w:t>
      </w:r>
      <w:r w:rsidR="000F31D0"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та установ</w:t>
      </w:r>
      <w:r w:rsidR="000F31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ами</w:t>
      </w:r>
      <w:r w:rsidR="000F31D0"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виконання покарань</w:t>
      </w:r>
      <w:r w:rsidR="000F31D0" w:rsidRPr="000F31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 зводиться до чисто вольових, суб'єктивних дій, котрі ґрунтуються на правилах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775B5E" w:rsidRPr="004A49F3" w:rsidRDefault="00775B5E" w:rsidP="004A01C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Мета курсової роботи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полягає у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775B5E" w:rsidRPr="00AE2F79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Поставлена мета зумовлює необхідність вирішення наступних </w:t>
      </w: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завдань:</w:t>
      </w:r>
    </w:p>
    <w:p w:rsidR="00752EF4" w:rsidRPr="004A49F3" w:rsidRDefault="004A49F3" w:rsidP="00700BC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Об’єктом дослідження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є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Предметом дослідження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є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775B5E" w:rsidRPr="004A49F3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Методи дослідження.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Основою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775B5E" w:rsidRPr="004A49F3" w:rsidRDefault="00775B5E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844B1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Стан дослідження.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Для всебічного та повного дослідження питання були використані наукові праці таких вчених як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B054C" w:rsidRPr="00CE60B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Яцишин М. М. Гречанюк С. К. Воронов О. І. Карагодін О.В.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775B5E" w:rsidRPr="00AE2F79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44B1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Структура та обсяг курсової роботи.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Курсова робота складається зі вступу, </w:t>
      </w:r>
      <w:r w:rsidR="00EE4E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чотирь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ох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розділів, висновків, та списку використаної літератури. Загальний обсяг роботи – </w:t>
      </w:r>
      <w:r w:rsidR="00A56A33" w:rsidRPr="00A56A3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="00A56A3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сторін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к.</w:t>
      </w:r>
    </w:p>
    <w:p w:rsidR="00775B5E" w:rsidRPr="00AE2F79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75B5E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75B5E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Default="00FF5D22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Default="00FF5D22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Default="00FF5D22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Default="00FF5D22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Default="00FF5D22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F31D0" w:rsidRDefault="000F31D0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F31D0" w:rsidRDefault="000F31D0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F31D0" w:rsidRDefault="000F31D0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Default="00FF5D22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5B5E" w:rsidRPr="00170A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</w:t>
      </w:r>
    </w:p>
    <w:p w:rsidR="00775B5E" w:rsidRPr="00170ABD" w:rsidRDefault="00775B5E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Витоки та розвиток управлінської діяльності органами і установами виконання покарань</w:t>
      </w:r>
    </w:p>
    <w:p w:rsidR="00775B5E" w:rsidRPr="00170ABD" w:rsidRDefault="00FF5D22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Ще за радянських часів відбувалась дискусія з приводу існування самостійної галузі права – виправно-трудового права (деякі автори відзначали, що це підгалузь кримінального права або наполягали на комплексному характері її норм Дійсно, сьогодні такі дискусії в далекому минулому, адже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4A49F3" w:rsidRP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[1, c.37].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рубежі 1989-1990 років почала активно обговорюватися тема створення Республіканського департаменту з кримінально-виконавчих справ як самостійного відомства. 5 серпня 1992 р. Кабінетом Міністрів України прийнято постанову № 448 «Про поліпшення діяльності установ кримінально-виконавчої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…..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[2].</w:t>
      </w: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Законом України «Про Державну кримінально-виконавчу службу України» визначено, що керівництво   Державною  кримінально-виконавчою  службою України  та  діяльністю  центрального  органу виконавчої влади, що реалізує державну політику у сфері виконання кримінальних покарань здійснює   керівник   центрального  органу  виконавчої  влади,  що реалізує   державну   політику   у  сфері  </w:t>
      </w:r>
      <w:r w:rsidR="004A49F3" w:rsidRP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Процес організації виконання покарання за своєю суттю є специфічною управлінською діяльністю. Специфіка означеної діяльності визначається за об’єктами управління. З одного боку, – це засуджені, з іншого, – персонал органів та установ ДКВС України. М.І. Немченко називає управління засудженими «зовнішнім управлінням», а управління персоналом — «внутрішнім» [1, c.58]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775B5E" w:rsidRPr="004A49F3" w:rsidRDefault="004A49F3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FF5D22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Таким чином,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FF5D22" w:rsidRPr="00170ABD" w:rsidRDefault="00FF5D22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Default="00FF5D22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</w:t>
      </w:r>
      <w:r w:rsidRPr="00170A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5B5E" w:rsidRPr="00170A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</w:t>
      </w:r>
    </w:p>
    <w:p w:rsidR="00775B5E" w:rsidRPr="00170ABD" w:rsidRDefault="00775B5E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Керівник установи виконання покарань та засади прийняття управлінських рішень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Досягнення мети управління відбувається шляхом підготовки і реалізації сукупності впливів на колективи людей, окремі особистості. Серед цієї сукупності в менеджменті виділяються методи управління як певні способи і прийоми, які використовуються управлінським апаратом фірми передусім для активізації ініціативи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4A49F3" w:rsidRP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[4, с. 229].</w:t>
      </w: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відміну від інших спеціалістів, що забезпечують управління, керівники представляють собою групу посадових осіб, яким делеговані права та обов'язки владного характеру. На думку А.А. </w:t>
      </w:r>
      <w:proofErr w:type="spellStart"/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Дарявина</w:t>
      </w:r>
      <w:proofErr w:type="spellEnd"/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правовий статус керівника складається з сукупності прав, обов‘язків та відповідальності, які характеризуються: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775B5E" w:rsidRPr="00170ABD" w:rsidRDefault="004A49F3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="00775B5E"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[5, с. 97].</w:t>
      </w:r>
    </w:p>
    <w:p w:rsidR="00775B5E" w:rsidRDefault="00775B5E" w:rsidP="00273BE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Прийняття рішень – важлива частина діяльності будь-якого керівника. Саме в цьому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процесі відбувається творчий акт, подальша активізація якого потребує великої організаційної роботи, ініціативи та творчості на кожному її етапі. Чим складніше рішення, які приймаються, тим вищим вважається творчий рівень праці.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8204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[6, с. 66].</w:t>
      </w:r>
      <w:r w:rsidR="00273BEF">
        <w:t xml:space="preserve"> </w:t>
      </w:r>
    </w:p>
    <w:p w:rsidR="00775B5E" w:rsidRPr="004A49F3" w:rsidRDefault="004A49F3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FF5D22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8204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FF5D22" w:rsidRDefault="00FF5D22" w:rsidP="00A56A3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FF5D22" w:rsidRPr="00FF5D22" w:rsidRDefault="00FF5D22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</w:t>
      </w:r>
      <w:r w:rsidRPr="00FF5D2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5B5E" w:rsidRPr="00FF5D2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3</w:t>
      </w:r>
    </w:p>
    <w:p w:rsidR="00775B5E" w:rsidRPr="00170ABD" w:rsidRDefault="00775B5E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FF5D2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Основні методи</w:t>
      </w:r>
      <w:r w:rsidRPr="00170ABD">
        <w:rPr>
          <w:rFonts w:eastAsia="Andale Sans UI"/>
          <w:b/>
          <w:kern w:val="2"/>
          <w:sz w:val="28"/>
          <w:szCs w:val="28"/>
        </w:rPr>
        <w:t xml:space="preserve"> управління в ДКВС України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170ABD">
        <w:rPr>
          <w:rFonts w:eastAsia="Andale Sans UI"/>
          <w:kern w:val="2"/>
          <w:sz w:val="28"/>
          <w:szCs w:val="28"/>
        </w:rPr>
        <w:t>При інтелектуалізації усіх видів праці значною мірою зростає роль соціально-психологічних факторів управління. Раціональна організація забезпечує високу продуктивність праці лише в тому випадку, якщо ефективно використовуються індивідуальні й психологічні особливості кожного працівника [</w:t>
      </w:r>
      <w:r w:rsidR="0097639F">
        <w:rPr>
          <w:rFonts w:eastAsia="Andale Sans UI"/>
          <w:kern w:val="2"/>
          <w:sz w:val="28"/>
          <w:szCs w:val="28"/>
        </w:rPr>
        <w:t>10</w:t>
      </w:r>
      <w:r w:rsidRPr="00170ABD">
        <w:rPr>
          <w:rFonts w:eastAsia="Andale Sans UI"/>
          <w:kern w:val="2"/>
          <w:sz w:val="28"/>
          <w:szCs w:val="28"/>
        </w:rPr>
        <w:t>, с. 178]</w:t>
      </w:r>
      <w:r w:rsidR="004A49F3">
        <w:rPr>
          <w:rFonts w:eastAsia="Andale Sans UI"/>
          <w:kern w:val="2"/>
          <w:sz w:val="28"/>
          <w:szCs w:val="28"/>
        </w:rPr>
        <w:t>…</w:t>
      </w:r>
      <w:r w:rsidR="004A49F3" w:rsidRPr="004A49F3">
        <w:rPr>
          <w:rFonts w:eastAsia="Andale Sans UI"/>
          <w:kern w:val="2"/>
          <w:sz w:val="28"/>
          <w:szCs w:val="28"/>
        </w:rPr>
        <w:t>.</w:t>
      </w:r>
    </w:p>
    <w:p w:rsidR="00775B5E" w:rsidRPr="00170ABD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170ABD">
        <w:rPr>
          <w:rFonts w:eastAsia="Andale Sans UI"/>
          <w:kern w:val="2"/>
          <w:sz w:val="28"/>
          <w:szCs w:val="28"/>
        </w:rPr>
        <w:lastRenderedPageBreak/>
        <w:t xml:space="preserve">Управління персоналом як специфічна діяльність здійснюється за допомогою різних методів (способів) впливу на співробітників. При цьому треба мати на увазі, що на </w:t>
      </w:r>
      <w:r w:rsidR="004A49F3" w:rsidRPr="004A49F3">
        <w:rPr>
          <w:rFonts w:eastAsia="Andale Sans UI"/>
          <w:kern w:val="2"/>
          <w:sz w:val="28"/>
          <w:szCs w:val="28"/>
        </w:rPr>
        <w:t>….</w:t>
      </w:r>
      <w:r w:rsidRPr="00170ABD">
        <w:rPr>
          <w:rFonts w:eastAsia="Andale Sans UI"/>
          <w:kern w:val="2"/>
          <w:sz w:val="28"/>
          <w:szCs w:val="28"/>
        </w:rPr>
        <w:t xml:space="preserve"> [1</w:t>
      </w:r>
      <w:r w:rsidR="0097639F">
        <w:rPr>
          <w:rFonts w:eastAsia="Andale Sans UI"/>
          <w:kern w:val="2"/>
          <w:sz w:val="28"/>
          <w:szCs w:val="28"/>
        </w:rPr>
        <w:t>1</w:t>
      </w:r>
      <w:r w:rsidRPr="00170ABD">
        <w:rPr>
          <w:rFonts w:eastAsia="Andale Sans UI"/>
          <w:kern w:val="2"/>
          <w:sz w:val="28"/>
          <w:szCs w:val="28"/>
        </w:rPr>
        <w:t>].</w:t>
      </w: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170ABD">
        <w:rPr>
          <w:rFonts w:eastAsia="Andale Sans UI"/>
          <w:kern w:val="2"/>
          <w:sz w:val="28"/>
          <w:szCs w:val="28"/>
        </w:rPr>
        <w:t xml:space="preserve">Розглядаючи більш детально зміст і характер методів, треба мати на увазі, що адміністративні методи відрізняються прямим характером впливу; вони обов’язкові для виконання, не допускають волі вибору співробітників і припускають санкції за </w:t>
      </w:r>
      <w:r w:rsidR="004A49F3">
        <w:rPr>
          <w:rFonts w:eastAsia="Andale Sans UI"/>
          <w:kern w:val="2"/>
          <w:sz w:val="28"/>
          <w:szCs w:val="28"/>
        </w:rPr>
        <w:t>…</w:t>
      </w: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Під соціально-психологічними методами слід розуміти сукупність специфічних методів дії на особисті стосунки і зв’язки між працівниками, а також на соціальні процеси в організації </w:t>
      </w:r>
      <w:r w:rsidRPr="00170ABD">
        <w:rPr>
          <w:rFonts w:eastAsia="Andale Sans UI"/>
          <w:kern w:val="2"/>
          <w:sz w:val="28"/>
          <w:szCs w:val="28"/>
        </w:rPr>
        <w:t>[1</w:t>
      </w:r>
      <w:r w:rsidR="0097639F">
        <w:rPr>
          <w:rFonts w:eastAsia="Andale Sans UI"/>
          <w:kern w:val="2"/>
          <w:sz w:val="28"/>
          <w:szCs w:val="28"/>
        </w:rPr>
        <w:t>2</w:t>
      </w:r>
      <w:r w:rsidRPr="00170ABD">
        <w:rPr>
          <w:rFonts w:eastAsia="Andale Sans UI"/>
          <w:kern w:val="2"/>
          <w:sz w:val="28"/>
          <w:szCs w:val="28"/>
        </w:rPr>
        <w:t>, с. 177]</w:t>
      </w:r>
      <w:r w:rsidR="004A49F3">
        <w:rPr>
          <w:rFonts w:eastAsia="Andale Sans UI"/>
          <w:kern w:val="2"/>
          <w:sz w:val="28"/>
          <w:szCs w:val="28"/>
        </w:rPr>
        <w:t>…</w:t>
      </w:r>
      <w:r w:rsidR="004A49F3" w:rsidRPr="004A49F3">
        <w:rPr>
          <w:rFonts w:eastAsia="Andale Sans UI"/>
          <w:kern w:val="2"/>
          <w:sz w:val="28"/>
          <w:szCs w:val="28"/>
        </w:rPr>
        <w:t>.</w:t>
      </w:r>
    </w:p>
    <w:p w:rsidR="00775B5E" w:rsidRPr="004A49F3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Завдяки соціально-психологічному управлінню вдається досягти відповідальності працівників за робочим процесом, стійкості, стабільності, підтримувати основні параметри, забезпечувати якісний цілеспрямований розвиток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4A49F3" w:rsidRP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F5D22" w:rsidRPr="004A49F3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lang w:val="ru-RU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Таким чином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FF5D22" w:rsidRDefault="00FF5D22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5B5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4</w:t>
      </w:r>
    </w:p>
    <w:p w:rsidR="00775B5E" w:rsidRPr="00170ABD" w:rsidRDefault="00775B5E" w:rsidP="00FF5D2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Особливості</w:t>
      </w:r>
      <w:r w:rsidRPr="00170AB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організаційних форм управління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в установах виконання покарань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75B5E" w:rsidRPr="004A49F3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Управління як функція реалізується через виконання ряду управлінських дій (функцій управління) — планування, організація, розпорядження, координування, контроль, мотивація, керівництво, комунікації, дослідження, оцінки, прийняття рішень, підбір кваліфікованих фахівців, представництво, ведення переговорів, укладення угод на освітні послуги. Розгляд управління як функції пов'язане з розробкою складу і змісту всіх видів управлінської діяльності, а також їх взаємозв'язку в просторі і часі [1</w:t>
      </w:r>
      <w:r w:rsidR="00650C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с. 146].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</w:p>
    <w:p w:rsidR="00775B5E" w:rsidRPr="004A49F3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2161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обудо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ва системи органів та установ виконання покарань безпосередньо залежить від тих видів покарання, які передбачені діючим законодавством. Статті 51 і 52 КК України встановлюють класифікацію 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системи покарань, розташовуючи їх у певній послідовності і поділяючи на основні і додаткові. Перелік кримінальних покарань складає фундамент системи органів і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 спеціальній літературі справедливо зазначається, що структу</w:t>
      </w: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oftHyphen/>
        <w:t>ра системи управління може бути розглянута у різних аспектах: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 позицій організаційної побудови системи або її ланок (так звана організаційна структура);</w:t>
      </w:r>
    </w:p>
    <w:p w:rsidR="00775B5E" w:rsidRPr="004A49F3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 точки зору взаємозв’язку підрозділів та їх розташування за рівнями управління (так звана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4A49F3" w:rsidRPr="004A49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75B5E" w:rsidRPr="00170ABD" w:rsidRDefault="00775B5E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  Встановлюється ефективний фонд робочого часу одного працівника за той же період, для якого було розраховано обсяг робіт у попередньому пункті з врахуванням нормованих перерв у роботі;</w:t>
      </w:r>
    </w:p>
    <w:p w:rsidR="00775B5E" w:rsidRPr="00170ABD" w:rsidRDefault="004A49F3" w:rsidP="00775B5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  <w:r w:rsidR="00775B5E"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[</w:t>
      </w:r>
      <w:r w:rsidR="00650C9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21</w:t>
      </w:r>
      <w:r w:rsidR="00775B5E"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FF5D22" w:rsidRPr="004A49F3" w:rsidRDefault="00775B5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Таким чином,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FF5D22" w:rsidRDefault="00FF5D22" w:rsidP="007F6E5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F6E5B" w:rsidRDefault="007F6E5B" w:rsidP="00483AA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C64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ВИСНОВКИ</w:t>
      </w:r>
    </w:p>
    <w:p w:rsidR="00483AAE" w:rsidRDefault="00483AAE" w:rsidP="00483AA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83AAE" w:rsidRPr="00AB0E10" w:rsidRDefault="00483AAE" w:rsidP="00483AA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Управлінська діяльність в органах та установах ДКВС України поєднує у собі усі класичні управлінські засади (закони) і специфічні (притаманні тільки даному виду діяльності) особливост</w:t>
      </w:r>
      <w:r w:rsidRPr="00AB0E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і.</w:t>
      </w:r>
    </w:p>
    <w:p w:rsidR="00483AAE" w:rsidRPr="004A49F3" w:rsidRDefault="00483AAE" w:rsidP="004A49F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170AB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Законом України «Про Державну кримінально-виконавчу службу України» визначено, що керівництво   Державною  кримінально-виконавчою  службою України  та  діяльністю  центрального  органу виконавчої влади, що реалізує державну </w:t>
      </w:r>
      <w:r w:rsidR="004A49F3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bookmarkStart w:id="0" w:name="_GoBack"/>
      <w:bookmarkEnd w:id="0"/>
    </w:p>
    <w:p w:rsidR="00483AAE" w:rsidRPr="00AC641E" w:rsidRDefault="00483AAE" w:rsidP="00483AA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F6E5B" w:rsidRPr="00AC641E" w:rsidRDefault="007F6E5B" w:rsidP="00483AA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C64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</w:p>
    <w:p w:rsidR="007F6E5B" w:rsidRPr="00170ABD" w:rsidRDefault="007F6E5B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50C99" w:rsidRPr="006B054C" w:rsidRDefault="00650C99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 Гречанюк С. К. Тео</w:t>
      </w:r>
      <w:r w:rsidR="007F6E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ія та практика взаємодії органів та установ Державної пенітенціарної служби України з державними та неурядовими 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інституціями : дис. докт. юр. наук : 12.00.07 / Гречанюк Сергій Констянтинович – Ірпінь, 2012. – 520 с.</w:t>
      </w:r>
    </w:p>
    <w:p w:rsidR="00650C99" w:rsidRPr="006B054C" w:rsidRDefault="00650C99" w:rsidP="003C3A0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 Яцишин М. М. Визначення статусу та компетенції керівних органів і структурних підрозділів Державної кримінально-виконавчої служби України х позицій кримінально-виконавчої політики /  Яцишин М. М. [Електронний ресурс]. — Режим доступу : http://esnuir.eenu.edu.ua/bitstream/ 123456789/2041/1/status.pdf</w:t>
      </w:r>
    </w:p>
    <w:p w:rsidR="00650C99" w:rsidRPr="006B054C" w:rsidRDefault="00650C99" w:rsidP="003C3A0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</w:t>
      </w:r>
      <w:r w:rsidRPr="00A8107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A8107C"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 Державну кримінально-виконавчу службу України : Закон від 23.06.2005 № 2713-IV [Електронний ресурс]. — Режим доступу : http://zakon3.rada.gov.ua/laws/show/2713-15</w:t>
      </w:r>
    </w:p>
    <w:p w:rsidR="00650C99" w:rsidRPr="006B054C" w:rsidRDefault="00650C99" w:rsidP="003C3A0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4.. Основні методи реалізації управлінської діяльності начальника територіального органу Державної кримінально-виконавчої служби України / С.К. Гречанюк // Держава і право. — 2010. — № 47. — С. 228-232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5.  Гречанюк С. К. Організаційно-правові засади взаємодії криміналь</w:t>
      </w:r>
      <w:r w:rsidR="0060031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но-виконавчих установ з державн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ими</w:t>
      </w:r>
      <w:r w:rsidR="0060031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органами та недержавними органі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заціями : дис. канд. юр. наук : 12.00.07 / Гречанюк Сергій Констянтинович – Ірпінь, 2006. – 253 с. 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6. Воронов О. І. Н</w:t>
      </w:r>
      <w:r w:rsid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апрями досліджень феномену «управлінське рішення» у сфері державного управління /</w:t>
      </w:r>
      <w:r w:rsidR="006B054C"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Воронов О. І. </w:t>
      </w:r>
      <w:r w:rsid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//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Вісник НАДУ</w:t>
      </w:r>
      <w:r w:rsid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- 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B054C"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2015</w:t>
      </w:r>
      <w:r w:rsidR="003C3A0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- № 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="003C3A0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– С. 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65-84</w:t>
      </w:r>
    </w:p>
    <w:p w:rsidR="00D528F7" w:rsidRDefault="00650C99" w:rsidP="00D528F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528F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7. </w:t>
      </w:r>
      <w:r w:rsidR="00D528F7" w:rsidRPr="00D528F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Карагодін О. В. Розвиток механізмів прийняття та реалізації управлінських рішень в системі державного управління : автореф. дис. на здобуття наук. ступеня канд. держ. упр. : спец. 25.00.02 "механізми державного управління" / Карагодін Олег Володимирович – </w:t>
      </w:r>
      <w:r w:rsidR="00D528F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</w:t>
      </w:r>
      <w:r w:rsidR="00D528F7" w:rsidRPr="00D528F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аріупіль, 2015. – 22 с.</w:t>
      </w:r>
      <w:r w:rsidR="00D528F7"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650C99" w:rsidRPr="006B054C" w:rsidRDefault="00650C99" w:rsidP="00D528F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8. Управлінські рішення: сутність, класифік</w:t>
      </w:r>
      <w:r w:rsid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ація, умови та процес прийняття </w:t>
      </w:r>
      <w:r w:rsidR="006B054C"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[Електронний ресурс]. - Режим доступу :</w:t>
      </w:r>
      <w:r w:rsid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hyperlink r:id="rId7" w:history="1">
        <w:r w:rsidRPr="006B054C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http://osvita.ua/vnz/reports/management/15389/</w:t>
        </w:r>
      </w:hyperlink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9. Пузирний В. Ф. Теоретичні аспекті визначення адміністративної діяльності органів та установ Державної кримінально-виконавчої служби </w:t>
      </w: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України / Пузирний В. Ф. //  Актуальні проблеми держави і права. - 2014. - № 71. – С. 61-68.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10. Харченко Г. А., Боровий Ю. М. Особливості соціально-психологічних методів в управлінні підприємством / Харченко Г. А., Боровий Ю. М. // Вісник НТУ «ХПІ».– 2013. – № 53(1026). – С. 178–181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11. Адміністративні, економічні та соціально-психологічні методи управління персоналом [Електронний ресурс]. - Режим доступу : http://lib-net.com/content/9492_Administrativni_ekonomichni_ta_socialno_psihologichni_metodi_ypravlinnya_personalom.html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12. Рульєв В. А. Управління персоналом.: Навчальний посібник. / В. А. Рульєв, С. О. Гуткевич, Т. Л. Мостянська – К.: Кондор, 2012 – 310 с.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13. Егоршин А.П. Управление персоналом / А.П.Егоршин. – Н.Новгород: НИМБ, 1997. – 607 с.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14. Мурашко М. І. Менеджмент персоналу / М. І. Мурашко – К.: Т-во «Знання», КОО, 2002.– 311с.</w:t>
      </w:r>
    </w:p>
    <w:p w:rsidR="00650C99" w:rsidRPr="006B054C" w:rsidRDefault="00650C99" w:rsidP="005819E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15. Кононова І. В. Аналіз підходів до управління підприємством у сучасних / Кононова І. В. // Прометей. – 2013. - № 1(40). – С. 146-151.</w:t>
      </w:r>
    </w:p>
    <w:p w:rsidR="00650C99" w:rsidRPr="006B054C" w:rsidRDefault="00650C99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16. Левченко Ю.О. Органи і установи виконання покарань в Україні : План-конспект проведення лекційного заняття, 2015. – 25 с. </w:t>
      </w:r>
    </w:p>
    <w:p w:rsidR="00650C99" w:rsidRPr="006B054C" w:rsidRDefault="00650C99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17. </w:t>
      </w:r>
      <w:hyperlink r:id="rId8" w:history="1">
        <w:r w:rsidRPr="006B054C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Кримінально-виконавчий кодекс України</w:t>
        </w:r>
      </w:hyperlink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: Кодекс, Закон від 11.07.2003 № 1129-IV [Електронний ресурс]. - Режим доступу : http://zakon5.rada.gov.ua/laws/show/1129-15</w:t>
      </w:r>
    </w:p>
    <w:p w:rsidR="00650C99" w:rsidRPr="00170ABD" w:rsidRDefault="00650C99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18.  </w:t>
      </w:r>
      <w:hyperlink r:id="rId9" w:tgtFrame="_blank" w:history="1">
        <w:r w:rsidRPr="006B054C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 xml:space="preserve">Вдосконалення організаційних структур та форм управління </w:t>
        </w:r>
      </w:hyperlink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ДКВСУ [Електронний ресурс]. - Режим доступу :  http://bo0k.net/index.php?p=achapter&amp;bid=11945&amp;chapter=1</w:t>
      </w:r>
    </w:p>
    <w:p w:rsidR="00650C99" w:rsidRPr="006B054C" w:rsidRDefault="00650C99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19. Мостенська Т.Л., Кудіна В.В. Організаційні структури:теоретичні підходи. Проблеми формування / Мостенська Т.Л., Кудіна В.В. [Електронний ресурс]. - Режим доступу : http://dspace.nuft.edu.ua/ jspui/bitstream/123456789/8840/1/NP18.pdf</w:t>
      </w:r>
    </w:p>
    <w:p w:rsidR="00650C99" w:rsidRPr="006B054C" w:rsidRDefault="00650C99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20. Метеленко Н. Г. Формування організаційної структури управління як складової внутрішнього господарського механізму промислового підприємства / Метеленко Н. Г. // Інвестиції: практика та досвід. - 2009. – № 10. - С. 46-49.</w:t>
      </w:r>
    </w:p>
    <w:p w:rsidR="00650C99" w:rsidRPr="006B054C" w:rsidRDefault="00650C99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B05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21. Структура управління організацією [Електронний ресурс]. - Режим доступу : http://posibnyky.vntu.edu.ua/rat_1/index_3.htm</w:t>
      </w:r>
    </w:p>
    <w:p w:rsidR="00650C99" w:rsidRPr="006B054C" w:rsidRDefault="00650C99" w:rsidP="006B054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B46296" w:rsidRPr="006B054C" w:rsidRDefault="00B46296" w:rsidP="00650C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sectPr w:rsidR="00B46296" w:rsidRPr="006B054C" w:rsidSect="00FF5D22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C5" w:rsidRDefault="007860C5" w:rsidP="00FF5D22">
      <w:pPr>
        <w:spacing w:after="0" w:line="240" w:lineRule="auto"/>
      </w:pPr>
      <w:r>
        <w:separator/>
      </w:r>
    </w:p>
  </w:endnote>
  <w:endnote w:type="continuationSeparator" w:id="0">
    <w:p w:rsidR="007860C5" w:rsidRDefault="007860C5" w:rsidP="00F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C5" w:rsidRDefault="007860C5" w:rsidP="00FF5D22">
      <w:pPr>
        <w:spacing w:after="0" w:line="240" w:lineRule="auto"/>
      </w:pPr>
      <w:r>
        <w:separator/>
      </w:r>
    </w:p>
  </w:footnote>
  <w:footnote w:type="continuationSeparator" w:id="0">
    <w:p w:rsidR="007860C5" w:rsidRDefault="007860C5" w:rsidP="00FF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4407"/>
      <w:docPartObj>
        <w:docPartGallery w:val="Page Numbers (Top of Page)"/>
        <w:docPartUnique/>
      </w:docPartObj>
    </w:sdtPr>
    <w:sdtEndPr/>
    <w:sdtContent>
      <w:p w:rsidR="00FF5D22" w:rsidRDefault="007860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9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F5D22" w:rsidRDefault="00FF5D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069"/>
    <w:multiLevelType w:val="multilevel"/>
    <w:tmpl w:val="6EBE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446D5"/>
    <w:multiLevelType w:val="multilevel"/>
    <w:tmpl w:val="580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65B28"/>
    <w:multiLevelType w:val="multilevel"/>
    <w:tmpl w:val="D1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84962"/>
    <w:multiLevelType w:val="multilevel"/>
    <w:tmpl w:val="EA9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754A8"/>
    <w:multiLevelType w:val="multilevel"/>
    <w:tmpl w:val="D13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90A6D"/>
    <w:multiLevelType w:val="multilevel"/>
    <w:tmpl w:val="5D0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27E9E"/>
    <w:multiLevelType w:val="multilevel"/>
    <w:tmpl w:val="72B4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45211"/>
    <w:multiLevelType w:val="multilevel"/>
    <w:tmpl w:val="1AD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775CB"/>
    <w:multiLevelType w:val="multilevel"/>
    <w:tmpl w:val="88D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81BA6"/>
    <w:multiLevelType w:val="multilevel"/>
    <w:tmpl w:val="E1D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10"/>
    <w:rsid w:val="00004C7F"/>
    <w:rsid w:val="000F31D0"/>
    <w:rsid w:val="00273BEF"/>
    <w:rsid w:val="00337775"/>
    <w:rsid w:val="003519FC"/>
    <w:rsid w:val="003C3A05"/>
    <w:rsid w:val="00435A44"/>
    <w:rsid w:val="00483AAE"/>
    <w:rsid w:val="004A01C7"/>
    <w:rsid w:val="004A49F3"/>
    <w:rsid w:val="00506C8C"/>
    <w:rsid w:val="005819E1"/>
    <w:rsid w:val="00600312"/>
    <w:rsid w:val="00650C99"/>
    <w:rsid w:val="006A7DC6"/>
    <w:rsid w:val="006B054C"/>
    <w:rsid w:val="00700BC4"/>
    <w:rsid w:val="00720ABB"/>
    <w:rsid w:val="00752EF4"/>
    <w:rsid w:val="00775B5E"/>
    <w:rsid w:val="007860C5"/>
    <w:rsid w:val="007F6E5B"/>
    <w:rsid w:val="00847210"/>
    <w:rsid w:val="0097639F"/>
    <w:rsid w:val="00A56A33"/>
    <w:rsid w:val="00A8107C"/>
    <w:rsid w:val="00B0691A"/>
    <w:rsid w:val="00B46296"/>
    <w:rsid w:val="00D528F7"/>
    <w:rsid w:val="00EE4E24"/>
    <w:rsid w:val="00FD36F5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9ADD"/>
  <w15:docId w15:val="{A380A5C7-96C3-4166-94A9-E6DB204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C7F"/>
  </w:style>
  <w:style w:type="paragraph" w:styleId="1">
    <w:name w:val="heading 1"/>
    <w:basedOn w:val="a"/>
    <w:link w:val="10"/>
    <w:qFormat/>
    <w:rsid w:val="00B4629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296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46296"/>
    <w:rPr>
      <w:b/>
      <w:bCs/>
    </w:rPr>
  </w:style>
  <w:style w:type="character" w:customStyle="1" w:styleId="10">
    <w:name w:val="Заголовок 1 Знак"/>
    <w:basedOn w:val="a0"/>
    <w:link w:val="1"/>
    <w:rsid w:val="00B46296"/>
    <w:rPr>
      <w:rFonts w:eastAsia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B462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62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46296"/>
  </w:style>
  <w:style w:type="character" w:customStyle="1" w:styleId="20">
    <w:name w:val="Заголовок 2 Знак"/>
    <w:basedOn w:val="a0"/>
    <w:link w:val="2"/>
    <w:uiPriority w:val="9"/>
    <w:semiHidden/>
    <w:rsid w:val="00B46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vps2">
    <w:name w:val="rvps2"/>
    <w:basedOn w:val="a"/>
    <w:rsid w:val="00775B5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hps">
    <w:name w:val="hps"/>
    <w:basedOn w:val="a0"/>
    <w:rsid w:val="00775B5E"/>
  </w:style>
  <w:style w:type="character" w:customStyle="1" w:styleId="30">
    <w:name w:val="Заголовок 3 Знак"/>
    <w:basedOn w:val="a0"/>
    <w:link w:val="3"/>
    <w:uiPriority w:val="9"/>
    <w:semiHidden/>
    <w:rsid w:val="00775B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775B5E"/>
    <w:pPr>
      <w:spacing w:after="0" w:line="240" w:lineRule="auto"/>
      <w:jc w:val="center"/>
    </w:pPr>
    <w:rPr>
      <w:rFonts w:eastAsia="Times New Roman"/>
      <w:b/>
      <w:kern w:val="0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75B5E"/>
    <w:rPr>
      <w:rFonts w:eastAsia="Times New Roman"/>
      <w:b/>
      <w:kern w:val="0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D22"/>
  </w:style>
  <w:style w:type="paragraph" w:styleId="a9">
    <w:name w:val="footer"/>
    <w:basedOn w:val="a"/>
    <w:link w:val="aa"/>
    <w:uiPriority w:val="99"/>
    <w:semiHidden/>
    <w:unhideWhenUsed/>
    <w:rsid w:val="00FF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251">
          <w:marLeft w:val="0"/>
          <w:marRight w:val="0"/>
          <w:marTop w:val="0"/>
          <w:marBottom w:val="300"/>
          <w:divBdr>
            <w:top w:val="single" w:sz="48" w:space="11" w:color="675040"/>
            <w:left w:val="none" w:sz="0" w:space="0" w:color="auto"/>
            <w:bottom w:val="dashed" w:sz="6" w:space="11" w:color="675040"/>
            <w:right w:val="none" w:sz="0" w:space="0" w:color="auto"/>
          </w:divBdr>
        </w:div>
        <w:div w:id="1859854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1" w:color="67504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1129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vnz/reports/management/1538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cad=rja&amp;uact=8&amp;ved=0ahUKEwioi7-4kPrTAhUDCCwKHX46A48QFgglMAA&amp;url=http%3A%2F%2Fbo0k.net%2Findex.php%3Fp%3Dachapter%26bid%3D11945%26chapter%3D1&amp;usg=AFQjCNE37WA62dUHV5gUYw5PQtFuvqD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2018-02-12T15:38:00Z</dcterms:created>
  <dcterms:modified xsi:type="dcterms:W3CDTF">2018-02-12T15:40:00Z</dcterms:modified>
</cp:coreProperties>
</file>