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5A" w:rsidRDefault="006770B8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3D4426">
        <w:rPr>
          <w:rFonts w:eastAsia="Andale Sans UI"/>
          <w:b/>
          <w:kern w:val="1"/>
          <w:sz w:val="28"/>
          <w:szCs w:val="28"/>
          <w:lang w:eastAsia="ru-RU"/>
        </w:rPr>
        <w:t>ЗМІСТ</w:t>
      </w:r>
    </w:p>
    <w:p w:rsidR="003D4426" w:rsidRP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6770B8" w:rsidRPr="003D4426" w:rsidRDefault="006770B8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3D4426">
        <w:rPr>
          <w:rFonts w:eastAsia="Andale Sans UI"/>
          <w:kern w:val="1"/>
          <w:sz w:val="28"/>
          <w:szCs w:val="28"/>
          <w:lang w:eastAsia="ru-RU"/>
        </w:rPr>
        <w:t>ВСТУП</w:t>
      </w:r>
      <w:r w:rsidR="00CB657F">
        <w:rPr>
          <w:rFonts w:eastAsia="Andale Sans UI"/>
          <w:kern w:val="1"/>
          <w:sz w:val="28"/>
          <w:szCs w:val="28"/>
          <w:lang w:eastAsia="ru-RU"/>
        </w:rPr>
        <w:t>……………………………………………………………………..…3</w:t>
      </w:r>
    </w:p>
    <w:p w:rsidR="006770B8" w:rsidRPr="003D4426" w:rsidRDefault="006770B8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3D4426">
        <w:rPr>
          <w:rFonts w:eastAsia="Andale Sans UI"/>
          <w:kern w:val="1"/>
          <w:sz w:val="28"/>
          <w:szCs w:val="28"/>
          <w:lang w:eastAsia="ru-RU"/>
        </w:rPr>
        <w:t xml:space="preserve">РОЗДІЛ 1. </w:t>
      </w:r>
      <w:r w:rsidR="00DE3594" w:rsidRPr="003D4426">
        <w:rPr>
          <w:rFonts w:eastAsia="Andale Sans UI"/>
          <w:kern w:val="1"/>
          <w:sz w:val="28"/>
          <w:szCs w:val="28"/>
          <w:lang w:eastAsia="ru-RU"/>
        </w:rPr>
        <w:t>ЗАГАЛЬНА ХАРАКТЕРИСТИКА ДОРОГОЦІННИХ МЕТАЛІВ В ВАЛЮТНІЙ СИСТЕМІ</w:t>
      </w:r>
      <w:r w:rsidR="00CB657F">
        <w:rPr>
          <w:rFonts w:eastAsia="Andale Sans UI"/>
          <w:kern w:val="1"/>
          <w:sz w:val="28"/>
          <w:szCs w:val="28"/>
          <w:lang w:eastAsia="ru-RU"/>
        </w:rPr>
        <w:t>……………………………………...…….5</w:t>
      </w:r>
    </w:p>
    <w:p w:rsidR="006770B8" w:rsidRPr="003D4426" w:rsidRDefault="006770B8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3D4426">
        <w:rPr>
          <w:rFonts w:eastAsia="Andale Sans UI"/>
          <w:kern w:val="1"/>
          <w:sz w:val="28"/>
          <w:szCs w:val="28"/>
          <w:lang w:eastAsia="ru-RU"/>
        </w:rPr>
        <w:t>1.1.</w:t>
      </w:r>
      <w:r w:rsidR="00DE3594" w:rsidRPr="003D4426">
        <w:rPr>
          <w:rFonts w:eastAsia="Andale Sans UI"/>
          <w:kern w:val="1"/>
          <w:sz w:val="28"/>
          <w:szCs w:val="28"/>
          <w:lang w:eastAsia="ru-RU"/>
        </w:rPr>
        <w:t xml:space="preserve"> Значення валютних металів в економічній системі</w:t>
      </w:r>
      <w:r w:rsidR="00CB657F">
        <w:rPr>
          <w:rFonts w:eastAsia="Andale Sans UI"/>
          <w:kern w:val="1"/>
          <w:sz w:val="28"/>
          <w:szCs w:val="28"/>
          <w:lang w:eastAsia="ru-RU"/>
        </w:rPr>
        <w:t>…………….…..…5</w:t>
      </w:r>
    </w:p>
    <w:p w:rsidR="006770B8" w:rsidRPr="003D4426" w:rsidRDefault="006770B8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3D4426">
        <w:rPr>
          <w:rFonts w:eastAsia="Andale Sans UI"/>
          <w:kern w:val="1"/>
          <w:sz w:val="28"/>
          <w:szCs w:val="28"/>
          <w:lang w:eastAsia="ru-RU"/>
        </w:rPr>
        <w:t>1.2.</w:t>
      </w:r>
      <w:r w:rsidR="00DE3594" w:rsidRPr="003D4426">
        <w:rPr>
          <w:rFonts w:eastAsia="Andale Sans UI"/>
          <w:kern w:val="1"/>
          <w:sz w:val="28"/>
          <w:szCs w:val="28"/>
          <w:lang w:eastAsia="ru-RU"/>
        </w:rPr>
        <w:t xml:space="preserve"> Особливості операцій з банківськими металами в Україні</w:t>
      </w:r>
      <w:r w:rsidR="00BE76E9">
        <w:rPr>
          <w:rFonts w:eastAsia="Andale Sans UI"/>
          <w:kern w:val="1"/>
          <w:sz w:val="28"/>
          <w:szCs w:val="28"/>
          <w:lang w:eastAsia="ru-RU"/>
        </w:rPr>
        <w:t>…</w:t>
      </w:r>
      <w:r w:rsidR="00CB657F">
        <w:rPr>
          <w:rFonts w:eastAsia="Andale Sans UI"/>
          <w:kern w:val="1"/>
          <w:sz w:val="28"/>
          <w:szCs w:val="28"/>
          <w:lang w:eastAsia="ru-RU"/>
        </w:rPr>
        <w:t>………12</w:t>
      </w:r>
    </w:p>
    <w:p w:rsidR="006770B8" w:rsidRPr="004A62F9" w:rsidRDefault="006770B8" w:rsidP="004A62F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3D4426">
        <w:rPr>
          <w:rFonts w:eastAsia="Andale Sans UI"/>
          <w:kern w:val="1"/>
          <w:sz w:val="28"/>
          <w:szCs w:val="28"/>
          <w:lang w:eastAsia="ru-RU"/>
        </w:rPr>
        <w:t>РОЗДІЛ 2.</w:t>
      </w:r>
      <w:r w:rsidR="004A62F9" w:rsidRPr="004A62F9">
        <w:rPr>
          <w:rFonts w:eastAsia="Andale Sans UI"/>
          <w:kern w:val="1"/>
          <w:sz w:val="28"/>
          <w:szCs w:val="28"/>
          <w:lang w:eastAsia="ru-RU"/>
        </w:rPr>
        <w:t xml:space="preserve"> ХАРАКТЕРИСТИКА  ПРАВОВОГО РЕГУЛЮВАННЯ ІНВЕСТИЦІЙНИХ  МОНЕТ</w:t>
      </w:r>
      <w:r w:rsidR="00CB657F">
        <w:rPr>
          <w:rFonts w:eastAsia="Andale Sans UI"/>
          <w:kern w:val="1"/>
          <w:sz w:val="28"/>
          <w:szCs w:val="28"/>
          <w:lang w:eastAsia="ru-RU"/>
        </w:rPr>
        <w:t>………………………………………………</w:t>
      </w:r>
      <w:r w:rsidR="00BE76E9">
        <w:rPr>
          <w:rFonts w:eastAsia="Andale Sans UI"/>
          <w:kern w:val="1"/>
          <w:sz w:val="28"/>
          <w:szCs w:val="28"/>
          <w:lang w:eastAsia="ru-RU"/>
        </w:rPr>
        <w:t>..</w:t>
      </w:r>
      <w:r w:rsidR="00CB657F">
        <w:rPr>
          <w:rFonts w:eastAsia="Andale Sans UI"/>
          <w:kern w:val="1"/>
          <w:sz w:val="28"/>
          <w:szCs w:val="28"/>
          <w:lang w:eastAsia="ru-RU"/>
        </w:rPr>
        <w:t>…..22</w:t>
      </w:r>
    </w:p>
    <w:p w:rsidR="006770B8" w:rsidRPr="003D4426" w:rsidRDefault="006770B8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3D4426">
        <w:rPr>
          <w:rFonts w:eastAsia="Andale Sans UI"/>
          <w:kern w:val="1"/>
          <w:sz w:val="28"/>
          <w:szCs w:val="28"/>
          <w:lang w:eastAsia="ru-RU"/>
        </w:rPr>
        <w:t xml:space="preserve">2.1. Поняття та види інвестиційних </w:t>
      </w:r>
      <w:r w:rsidR="00DE3594" w:rsidRPr="003D4426">
        <w:rPr>
          <w:rFonts w:eastAsia="Andale Sans UI"/>
          <w:kern w:val="1"/>
          <w:sz w:val="28"/>
          <w:szCs w:val="28"/>
          <w:lang w:eastAsia="ru-RU"/>
        </w:rPr>
        <w:t>монет</w:t>
      </w:r>
      <w:r w:rsidR="00CB657F">
        <w:rPr>
          <w:rFonts w:eastAsia="Andale Sans UI"/>
          <w:kern w:val="1"/>
          <w:sz w:val="28"/>
          <w:szCs w:val="28"/>
          <w:lang w:eastAsia="ru-RU"/>
        </w:rPr>
        <w:t>………………………</w:t>
      </w:r>
      <w:r w:rsidR="00BE76E9">
        <w:rPr>
          <w:rFonts w:eastAsia="Andale Sans UI"/>
          <w:kern w:val="1"/>
          <w:sz w:val="28"/>
          <w:szCs w:val="28"/>
          <w:lang w:eastAsia="ru-RU"/>
        </w:rPr>
        <w:t>…</w:t>
      </w:r>
      <w:r w:rsidR="00CB657F">
        <w:rPr>
          <w:rFonts w:eastAsia="Andale Sans UI"/>
          <w:kern w:val="1"/>
          <w:sz w:val="28"/>
          <w:szCs w:val="28"/>
          <w:lang w:eastAsia="ru-RU"/>
        </w:rPr>
        <w:t>……..22</w:t>
      </w:r>
    </w:p>
    <w:p w:rsidR="004A62F9" w:rsidRPr="009718C5" w:rsidRDefault="004A62F9" w:rsidP="004A62F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4A62F9">
        <w:rPr>
          <w:rFonts w:eastAsia="Andale Sans UI"/>
          <w:kern w:val="1"/>
          <w:sz w:val="28"/>
          <w:szCs w:val="28"/>
          <w:lang w:eastAsia="ru-RU"/>
        </w:rPr>
        <w:t>2.2. Нормативно-правове регулювання обігу інвестиційних монет в Україні та перспективи розвитку обігу інвестиційних монет в Україні</w:t>
      </w:r>
      <w:r w:rsidR="00CB657F">
        <w:rPr>
          <w:rFonts w:eastAsia="Andale Sans UI"/>
          <w:kern w:val="1"/>
          <w:sz w:val="28"/>
          <w:szCs w:val="28"/>
          <w:lang w:eastAsia="ru-RU"/>
        </w:rPr>
        <w:t>…</w:t>
      </w:r>
      <w:r w:rsidR="00BE76E9">
        <w:rPr>
          <w:rFonts w:eastAsia="Andale Sans UI"/>
          <w:kern w:val="1"/>
          <w:sz w:val="28"/>
          <w:szCs w:val="28"/>
          <w:lang w:eastAsia="ru-RU"/>
        </w:rPr>
        <w:t>….</w:t>
      </w:r>
      <w:r w:rsidR="00CB657F">
        <w:rPr>
          <w:rFonts w:eastAsia="Andale Sans UI"/>
          <w:kern w:val="1"/>
          <w:sz w:val="28"/>
          <w:szCs w:val="28"/>
          <w:lang w:eastAsia="ru-RU"/>
        </w:rPr>
        <w:t>..38</w:t>
      </w:r>
    </w:p>
    <w:p w:rsidR="00DE3594" w:rsidRPr="003D4426" w:rsidRDefault="00DE3594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3D4426">
        <w:rPr>
          <w:rFonts w:eastAsia="Andale Sans UI"/>
          <w:kern w:val="1"/>
          <w:sz w:val="28"/>
          <w:szCs w:val="28"/>
          <w:lang w:eastAsia="ru-RU"/>
        </w:rPr>
        <w:t>ВИСНОВКИ</w:t>
      </w:r>
      <w:r w:rsidR="00CB657F">
        <w:rPr>
          <w:rFonts w:eastAsia="Andale Sans UI"/>
          <w:kern w:val="1"/>
          <w:sz w:val="28"/>
          <w:szCs w:val="28"/>
          <w:lang w:eastAsia="ru-RU"/>
        </w:rPr>
        <w:t>………………………………………………………………</w:t>
      </w:r>
      <w:r w:rsidR="00BE76E9">
        <w:rPr>
          <w:rFonts w:eastAsia="Andale Sans UI"/>
          <w:kern w:val="1"/>
          <w:sz w:val="28"/>
          <w:szCs w:val="28"/>
          <w:lang w:eastAsia="ru-RU"/>
        </w:rPr>
        <w:t>..</w:t>
      </w:r>
      <w:r w:rsidR="00CB657F">
        <w:rPr>
          <w:rFonts w:eastAsia="Andale Sans UI"/>
          <w:kern w:val="1"/>
          <w:sz w:val="28"/>
          <w:szCs w:val="28"/>
          <w:lang w:eastAsia="ru-RU"/>
        </w:rPr>
        <w:t>.49</w:t>
      </w:r>
    </w:p>
    <w:p w:rsidR="00DE3594" w:rsidRPr="003D4426" w:rsidRDefault="00DE3594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3D4426">
        <w:rPr>
          <w:rFonts w:eastAsia="Andale Sans UI"/>
          <w:kern w:val="1"/>
          <w:sz w:val="28"/>
          <w:szCs w:val="28"/>
          <w:lang w:eastAsia="ru-RU"/>
        </w:rPr>
        <w:t>СПИСОК ВИКОРИСТАНИХ ДЖЕРЕЛ</w:t>
      </w:r>
      <w:r w:rsidR="00CB657F">
        <w:rPr>
          <w:rFonts w:eastAsia="Andale Sans UI"/>
          <w:kern w:val="1"/>
          <w:sz w:val="28"/>
          <w:szCs w:val="28"/>
          <w:lang w:eastAsia="ru-RU"/>
        </w:rPr>
        <w:t>………………………………</w:t>
      </w:r>
      <w:r w:rsidR="00BE76E9">
        <w:rPr>
          <w:rFonts w:eastAsia="Andale Sans UI"/>
          <w:kern w:val="1"/>
          <w:sz w:val="28"/>
          <w:szCs w:val="28"/>
          <w:lang w:eastAsia="ru-RU"/>
        </w:rPr>
        <w:t>..</w:t>
      </w:r>
      <w:r w:rsidR="00CB657F">
        <w:rPr>
          <w:rFonts w:eastAsia="Andale Sans UI"/>
          <w:kern w:val="1"/>
          <w:sz w:val="28"/>
          <w:szCs w:val="28"/>
          <w:lang w:eastAsia="ru-RU"/>
        </w:rPr>
        <w:t>…52</w:t>
      </w:r>
    </w:p>
    <w:p w:rsidR="00DE3594" w:rsidRPr="003D4426" w:rsidRDefault="00DE3594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</w:p>
    <w:p w:rsid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3D4426" w:rsidRDefault="003D4426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DE3594" w:rsidRPr="003D4426" w:rsidRDefault="00DE3594" w:rsidP="003D4426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3D4426">
        <w:rPr>
          <w:rFonts w:eastAsia="Andale Sans UI"/>
          <w:b/>
          <w:kern w:val="1"/>
          <w:sz w:val="28"/>
          <w:szCs w:val="28"/>
          <w:lang w:eastAsia="ru-RU"/>
        </w:rPr>
        <w:lastRenderedPageBreak/>
        <w:t>ВСТУП</w:t>
      </w:r>
    </w:p>
    <w:p w:rsidR="00EA41F9" w:rsidRDefault="00EA41F9" w:rsidP="00EA41F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EA41F9" w:rsidRPr="00EA41F9" w:rsidRDefault="00EA41F9" w:rsidP="00EA41F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A13860">
        <w:rPr>
          <w:rFonts w:eastAsia="Andale Sans UI"/>
          <w:b/>
          <w:kern w:val="1"/>
          <w:sz w:val="28"/>
          <w:szCs w:val="28"/>
          <w:lang w:eastAsia="ru-RU"/>
        </w:rPr>
        <w:t>Актуальність теми.</w:t>
      </w:r>
      <w:r w:rsidRPr="00A13860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EA41F9">
        <w:rPr>
          <w:rFonts w:eastAsia="Andale Sans UI"/>
          <w:kern w:val="1"/>
          <w:sz w:val="28"/>
          <w:szCs w:val="28"/>
          <w:lang w:eastAsia="ru-RU"/>
        </w:rPr>
        <w:t xml:space="preserve">У світі інвестиційні монети щодня котируються на покупку і продаж. На кожній інвестиційній монеті обов'язково вказується вміст чистого дорогоцінного металу в </w:t>
      </w:r>
      <w:proofErr w:type="spellStart"/>
      <w:r w:rsidRPr="00EA41F9">
        <w:rPr>
          <w:rFonts w:eastAsia="Andale Sans UI"/>
          <w:kern w:val="1"/>
          <w:sz w:val="28"/>
          <w:szCs w:val="28"/>
          <w:lang w:eastAsia="ru-RU"/>
        </w:rPr>
        <w:t>тройських</w:t>
      </w:r>
      <w:proofErr w:type="spellEnd"/>
      <w:r w:rsidRPr="00EA41F9">
        <w:rPr>
          <w:rFonts w:eastAsia="Andale Sans UI"/>
          <w:kern w:val="1"/>
          <w:sz w:val="28"/>
          <w:szCs w:val="28"/>
          <w:lang w:eastAsia="ru-RU"/>
        </w:rPr>
        <w:t xml:space="preserve"> унціях.</w:t>
      </w:r>
    </w:p>
    <w:p w:rsidR="009718C5" w:rsidRPr="00EA41F9" w:rsidRDefault="00EA41F9" w:rsidP="001505F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EA41F9">
        <w:rPr>
          <w:rFonts w:eastAsia="Andale Sans UI"/>
          <w:kern w:val="1"/>
          <w:sz w:val="28"/>
          <w:szCs w:val="28"/>
          <w:lang w:eastAsia="ru-RU"/>
        </w:rPr>
        <w:t xml:space="preserve">В Україні монетний ринок розділений на два сегменти - інвестиційний і пам'ятний. Національний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</w:t>
      </w:r>
      <w:r w:rsidRPr="00EA41F9">
        <w:rPr>
          <w:rFonts w:eastAsia="Andale Sans UI"/>
          <w:kern w:val="1"/>
          <w:sz w:val="28"/>
          <w:szCs w:val="28"/>
          <w:lang w:eastAsia="ru-RU"/>
        </w:rPr>
        <w:t xml:space="preserve"> і деяких інших. Найпопулярніші монети - це «Панда» (Китай), «Віденська філармонія» (Австрія), «Орел» (США), «Кенгуру» (Австралія). Прибуток від продажу інвестиційних монет у нас в країні не оподатковується.</w:t>
      </w:r>
    </w:p>
    <w:p w:rsidR="00A13860" w:rsidRPr="00A13860" w:rsidRDefault="00A13860" w:rsidP="00A1386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A13860">
        <w:rPr>
          <w:rFonts w:eastAsia="Andale Sans UI"/>
          <w:b/>
          <w:kern w:val="1"/>
          <w:sz w:val="28"/>
          <w:szCs w:val="28"/>
          <w:lang w:eastAsia="ru-RU"/>
        </w:rPr>
        <w:t>Мета курсової роботи</w:t>
      </w:r>
      <w:r w:rsidRPr="00A13860">
        <w:rPr>
          <w:rFonts w:eastAsia="Andale Sans UI"/>
          <w:kern w:val="1"/>
          <w:sz w:val="28"/>
          <w:szCs w:val="28"/>
          <w:lang w:eastAsia="ru-RU"/>
        </w:rPr>
        <w:t xml:space="preserve"> полягає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</w:t>
      </w:r>
    </w:p>
    <w:p w:rsidR="00A13860" w:rsidRPr="00A13860" w:rsidRDefault="00A13860" w:rsidP="00A1386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A13860">
        <w:rPr>
          <w:rFonts w:eastAsia="Andale Sans UI"/>
          <w:kern w:val="1"/>
          <w:sz w:val="28"/>
          <w:szCs w:val="28"/>
          <w:lang w:eastAsia="ru-RU"/>
        </w:rPr>
        <w:t>Поставлена мета зумовлює необхідність вирішення наступних завдань:</w:t>
      </w:r>
    </w:p>
    <w:p w:rsidR="00A13860" w:rsidRPr="009718C5" w:rsidRDefault="00A13860" w:rsidP="001505F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A13860">
        <w:rPr>
          <w:rFonts w:eastAsia="Andale Sans UI"/>
          <w:kern w:val="1"/>
          <w:sz w:val="28"/>
          <w:szCs w:val="28"/>
          <w:lang w:eastAsia="ru-RU"/>
        </w:rPr>
        <w:t xml:space="preserve">-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</w:t>
      </w:r>
      <w:r w:rsidRPr="004A62F9">
        <w:rPr>
          <w:rFonts w:eastAsia="Andale Sans UI"/>
          <w:kern w:val="1"/>
          <w:sz w:val="28"/>
          <w:szCs w:val="28"/>
          <w:lang w:eastAsia="ru-RU"/>
        </w:rPr>
        <w:t xml:space="preserve"> в Україні та перспективи розвитку обігу інвестиційних монет в Україні</w:t>
      </w:r>
      <w:r>
        <w:rPr>
          <w:rFonts w:eastAsia="Andale Sans UI"/>
          <w:kern w:val="1"/>
          <w:sz w:val="28"/>
          <w:szCs w:val="28"/>
          <w:lang w:eastAsia="ru-RU"/>
        </w:rPr>
        <w:t>.</w:t>
      </w:r>
    </w:p>
    <w:p w:rsidR="00A13860" w:rsidRPr="00A13860" w:rsidRDefault="00A13860" w:rsidP="00A1386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A13860">
        <w:rPr>
          <w:rFonts w:eastAsia="Andale Sans UI"/>
          <w:b/>
          <w:kern w:val="1"/>
          <w:sz w:val="28"/>
          <w:szCs w:val="28"/>
          <w:lang w:eastAsia="ru-RU"/>
        </w:rPr>
        <w:t>Об’єктом дослідження</w:t>
      </w:r>
      <w:r w:rsidRPr="00A13860">
        <w:rPr>
          <w:rFonts w:eastAsia="Andale Sans UI"/>
          <w:kern w:val="1"/>
          <w:sz w:val="28"/>
          <w:szCs w:val="28"/>
          <w:lang w:eastAsia="ru-RU"/>
        </w:rPr>
        <w:t xml:space="preserve"> є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</w:t>
      </w:r>
      <w:r w:rsidRPr="00A13860">
        <w:rPr>
          <w:rFonts w:eastAsia="Andale Sans UI"/>
          <w:kern w:val="1"/>
          <w:sz w:val="28"/>
          <w:szCs w:val="28"/>
          <w:lang w:eastAsia="ru-RU"/>
        </w:rPr>
        <w:t>.</w:t>
      </w:r>
    </w:p>
    <w:p w:rsidR="00A13860" w:rsidRPr="00A13860" w:rsidRDefault="00A13860" w:rsidP="00A1386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A13860">
        <w:rPr>
          <w:rFonts w:eastAsia="Andale Sans UI"/>
          <w:b/>
          <w:kern w:val="1"/>
          <w:sz w:val="28"/>
          <w:szCs w:val="28"/>
          <w:lang w:eastAsia="ru-RU"/>
        </w:rPr>
        <w:t>Предметом дослідження</w:t>
      </w:r>
      <w:r w:rsidRPr="00A13860">
        <w:rPr>
          <w:rFonts w:eastAsia="Andale Sans UI"/>
          <w:kern w:val="1"/>
          <w:sz w:val="28"/>
          <w:szCs w:val="28"/>
          <w:lang w:eastAsia="ru-RU"/>
        </w:rPr>
        <w:t xml:space="preserve"> є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</w:t>
      </w:r>
    </w:p>
    <w:p w:rsidR="00A13860" w:rsidRPr="00A13860" w:rsidRDefault="00A13860" w:rsidP="00A1386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EA41F9">
        <w:rPr>
          <w:rFonts w:eastAsia="Andale Sans UI"/>
          <w:b/>
          <w:kern w:val="1"/>
          <w:sz w:val="28"/>
          <w:szCs w:val="28"/>
          <w:lang w:eastAsia="ru-RU"/>
        </w:rPr>
        <w:t>Методи дослідження.</w:t>
      </w:r>
      <w:r w:rsidRPr="00A13860">
        <w:rPr>
          <w:rFonts w:eastAsia="Andale Sans UI"/>
          <w:kern w:val="1"/>
          <w:sz w:val="28"/>
          <w:szCs w:val="28"/>
          <w:lang w:eastAsia="ru-RU"/>
        </w:rPr>
        <w:t xml:space="preserve"> Основою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</w:t>
      </w:r>
    </w:p>
    <w:p w:rsidR="00A13860" w:rsidRPr="00A13860" w:rsidRDefault="00A13860" w:rsidP="00A1386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EA41F9">
        <w:rPr>
          <w:rFonts w:eastAsia="Andale Sans UI"/>
          <w:b/>
          <w:kern w:val="1"/>
          <w:sz w:val="28"/>
          <w:szCs w:val="28"/>
          <w:lang w:eastAsia="ru-RU"/>
        </w:rPr>
        <w:t>Стан дослідження.</w:t>
      </w:r>
      <w:r w:rsidRPr="00A13860">
        <w:rPr>
          <w:rFonts w:eastAsia="Andale Sans UI"/>
          <w:kern w:val="1"/>
          <w:sz w:val="28"/>
          <w:szCs w:val="28"/>
          <w:lang w:eastAsia="ru-RU"/>
        </w:rPr>
        <w:t xml:space="preserve">  Для всебічного та повного дослідження питання були використані наукові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</w:t>
      </w:r>
    </w:p>
    <w:p w:rsidR="00A13860" w:rsidRPr="00D101DF" w:rsidRDefault="00A13860" w:rsidP="00A1386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AB709A">
        <w:rPr>
          <w:b/>
          <w:color w:val="000000"/>
          <w:shd w:val="clear" w:color="auto" w:fill="FFFFFF"/>
        </w:rPr>
        <w:t xml:space="preserve">Структура та </w:t>
      </w:r>
      <w:proofErr w:type="spellStart"/>
      <w:r w:rsidRPr="00AB709A">
        <w:rPr>
          <w:b/>
          <w:color w:val="000000"/>
          <w:shd w:val="clear" w:color="auto" w:fill="FFFFFF"/>
        </w:rPr>
        <w:t>обсяг</w:t>
      </w:r>
      <w:proofErr w:type="spellEnd"/>
      <w:r w:rsidRPr="00AB709A">
        <w:rPr>
          <w:b/>
          <w:color w:val="000000"/>
          <w:shd w:val="clear" w:color="auto" w:fill="FFFFFF"/>
        </w:rPr>
        <w:t xml:space="preserve"> </w:t>
      </w:r>
      <w:proofErr w:type="spellStart"/>
      <w:r w:rsidRPr="00AB709A">
        <w:rPr>
          <w:b/>
          <w:color w:val="000000"/>
          <w:shd w:val="clear" w:color="auto" w:fill="FFFFFF"/>
        </w:rPr>
        <w:t>курсової</w:t>
      </w:r>
      <w:proofErr w:type="spellEnd"/>
      <w:r w:rsidRPr="00AB709A">
        <w:rPr>
          <w:b/>
          <w:color w:val="000000"/>
          <w:shd w:val="clear" w:color="auto" w:fill="FFFFFF"/>
        </w:rPr>
        <w:t xml:space="preserve"> </w:t>
      </w:r>
      <w:proofErr w:type="spellStart"/>
      <w:r w:rsidRPr="00AB709A">
        <w:rPr>
          <w:b/>
          <w:color w:val="000000"/>
          <w:shd w:val="clear" w:color="auto" w:fill="FFFFFF"/>
        </w:rPr>
        <w:t>роботи</w:t>
      </w:r>
      <w:proofErr w:type="spellEnd"/>
      <w:r w:rsidRPr="00AB709A">
        <w:rPr>
          <w:b/>
          <w:color w:val="000000"/>
          <w:shd w:val="clear" w:color="auto" w:fill="FFFFFF"/>
        </w:rPr>
        <w:t>.</w:t>
      </w:r>
      <w:r w:rsidRPr="00D101DF">
        <w:rPr>
          <w:color w:val="000000"/>
          <w:shd w:val="clear" w:color="auto" w:fill="FFFFFF"/>
        </w:rPr>
        <w:t xml:space="preserve"> </w:t>
      </w:r>
      <w:proofErr w:type="spellStart"/>
      <w:r w:rsidRPr="00D101DF">
        <w:rPr>
          <w:color w:val="000000"/>
          <w:shd w:val="clear" w:color="auto" w:fill="FFFFFF"/>
        </w:rPr>
        <w:t>Курсова</w:t>
      </w:r>
      <w:proofErr w:type="spellEnd"/>
      <w:r w:rsidRPr="00D101DF">
        <w:rPr>
          <w:color w:val="000000"/>
          <w:shd w:val="clear" w:color="auto" w:fill="FFFFFF"/>
        </w:rPr>
        <w:t xml:space="preserve"> робота </w:t>
      </w:r>
      <w:proofErr w:type="spellStart"/>
      <w:r w:rsidRPr="00D101DF">
        <w:rPr>
          <w:color w:val="000000"/>
          <w:shd w:val="clear" w:color="auto" w:fill="FFFFFF"/>
        </w:rPr>
        <w:t>складається</w:t>
      </w:r>
      <w:proofErr w:type="spellEnd"/>
      <w:r w:rsidRPr="00D101DF">
        <w:rPr>
          <w:color w:val="000000"/>
          <w:shd w:val="clear" w:color="auto" w:fill="FFFFFF"/>
        </w:rPr>
        <w:t xml:space="preserve"> </w:t>
      </w:r>
      <w:proofErr w:type="spellStart"/>
      <w:r w:rsidRPr="00D101DF">
        <w:rPr>
          <w:color w:val="000000"/>
          <w:shd w:val="clear" w:color="auto" w:fill="FFFFFF"/>
        </w:rPr>
        <w:t>зі</w:t>
      </w:r>
      <w:proofErr w:type="spellEnd"/>
      <w:r w:rsidRPr="00D101DF">
        <w:rPr>
          <w:color w:val="000000"/>
          <w:shd w:val="clear" w:color="auto" w:fill="FFFFFF"/>
        </w:rPr>
        <w:t xml:space="preserve"> </w:t>
      </w:r>
      <w:proofErr w:type="spellStart"/>
      <w:r w:rsidRPr="00D101DF">
        <w:rPr>
          <w:color w:val="000000"/>
          <w:shd w:val="clear" w:color="auto" w:fill="FFFFFF"/>
        </w:rPr>
        <w:t>вступу</w:t>
      </w:r>
      <w:proofErr w:type="spellEnd"/>
      <w:r w:rsidRPr="00D101DF"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  <w:lang w:val="uk-UA"/>
        </w:rPr>
        <w:t>дв</w:t>
      </w:r>
      <w:proofErr w:type="spellEnd"/>
      <w:r>
        <w:rPr>
          <w:color w:val="000000"/>
          <w:shd w:val="clear" w:color="auto" w:fill="FFFFFF"/>
        </w:rPr>
        <w:t>ох</w:t>
      </w:r>
      <w:r w:rsidRPr="00D101DF">
        <w:rPr>
          <w:color w:val="000000"/>
          <w:shd w:val="clear" w:color="auto" w:fill="FFFFFF"/>
        </w:rPr>
        <w:t xml:space="preserve"> </w:t>
      </w:r>
      <w:proofErr w:type="spellStart"/>
      <w:r w:rsidRPr="00D101DF">
        <w:rPr>
          <w:color w:val="000000"/>
          <w:shd w:val="clear" w:color="auto" w:fill="FFFFFF"/>
        </w:rPr>
        <w:t>розділів</w:t>
      </w:r>
      <w:proofErr w:type="spellEnd"/>
      <w:r w:rsidRPr="00D101DF">
        <w:rPr>
          <w:color w:val="000000"/>
          <w:shd w:val="clear" w:color="auto" w:fill="FFFFFF"/>
        </w:rPr>
        <w:t xml:space="preserve">, </w:t>
      </w:r>
      <w:proofErr w:type="spellStart"/>
      <w:r w:rsidRPr="00D101DF">
        <w:rPr>
          <w:color w:val="000000"/>
          <w:shd w:val="clear" w:color="auto" w:fill="FFFFFF"/>
        </w:rPr>
        <w:t>висновків</w:t>
      </w:r>
      <w:proofErr w:type="spellEnd"/>
      <w:r w:rsidRPr="00D101DF">
        <w:rPr>
          <w:color w:val="000000"/>
          <w:shd w:val="clear" w:color="auto" w:fill="FFFFFF"/>
        </w:rPr>
        <w:t xml:space="preserve">, та списку </w:t>
      </w:r>
      <w:proofErr w:type="spellStart"/>
      <w:r w:rsidRPr="00D101DF">
        <w:rPr>
          <w:color w:val="000000"/>
          <w:shd w:val="clear" w:color="auto" w:fill="FFFFFF"/>
        </w:rPr>
        <w:t>використаної</w:t>
      </w:r>
      <w:proofErr w:type="spellEnd"/>
      <w:r w:rsidRPr="00D101DF">
        <w:rPr>
          <w:color w:val="000000"/>
          <w:shd w:val="clear" w:color="auto" w:fill="FFFFFF"/>
        </w:rPr>
        <w:t xml:space="preserve"> </w:t>
      </w:r>
      <w:proofErr w:type="spellStart"/>
      <w:r w:rsidRPr="00D101DF">
        <w:rPr>
          <w:color w:val="000000"/>
          <w:shd w:val="clear" w:color="auto" w:fill="FFFFFF"/>
        </w:rPr>
        <w:t>літератури</w:t>
      </w:r>
      <w:proofErr w:type="spellEnd"/>
      <w:r w:rsidRPr="00D101DF">
        <w:rPr>
          <w:color w:val="000000"/>
          <w:shd w:val="clear" w:color="auto" w:fill="FFFFFF"/>
        </w:rPr>
        <w:t xml:space="preserve">. </w:t>
      </w:r>
      <w:proofErr w:type="spellStart"/>
      <w:r w:rsidRPr="00D101DF">
        <w:rPr>
          <w:color w:val="000000"/>
          <w:shd w:val="clear" w:color="auto" w:fill="FFFFFF"/>
        </w:rPr>
        <w:t>Загальний</w:t>
      </w:r>
      <w:proofErr w:type="spellEnd"/>
      <w:r w:rsidRPr="00D101DF">
        <w:rPr>
          <w:color w:val="000000"/>
          <w:shd w:val="clear" w:color="auto" w:fill="FFFFFF"/>
        </w:rPr>
        <w:t xml:space="preserve"> </w:t>
      </w:r>
      <w:proofErr w:type="spellStart"/>
      <w:r w:rsidRPr="00D101DF">
        <w:rPr>
          <w:color w:val="000000"/>
          <w:shd w:val="clear" w:color="auto" w:fill="FFFFFF"/>
        </w:rPr>
        <w:t>обсяг</w:t>
      </w:r>
      <w:proofErr w:type="spellEnd"/>
      <w:r w:rsidRPr="00D101DF">
        <w:rPr>
          <w:color w:val="000000"/>
          <w:shd w:val="clear" w:color="auto" w:fill="FFFFFF"/>
        </w:rPr>
        <w:t xml:space="preserve"> </w:t>
      </w:r>
      <w:proofErr w:type="spellStart"/>
      <w:r w:rsidRPr="00D101DF">
        <w:rPr>
          <w:color w:val="000000"/>
          <w:shd w:val="clear" w:color="auto" w:fill="FFFFFF"/>
        </w:rPr>
        <w:t>роботи</w:t>
      </w:r>
      <w:proofErr w:type="spellEnd"/>
      <w:r w:rsidRPr="00D101DF">
        <w:rPr>
          <w:color w:val="000000"/>
          <w:shd w:val="clear" w:color="auto" w:fill="FFFFFF"/>
        </w:rPr>
        <w:t xml:space="preserve"> – </w:t>
      </w:r>
      <w:r w:rsidR="00311D7F">
        <w:rPr>
          <w:color w:val="000000"/>
          <w:shd w:val="clear" w:color="auto" w:fill="FFFFFF"/>
          <w:lang w:val="uk-UA"/>
        </w:rPr>
        <w:t>56</w:t>
      </w:r>
      <w:r w:rsidRPr="008F1139">
        <w:rPr>
          <w:color w:val="000000"/>
          <w:shd w:val="clear" w:color="auto" w:fill="FFFFFF"/>
        </w:rPr>
        <w:t xml:space="preserve"> </w:t>
      </w:r>
      <w:proofErr w:type="spellStart"/>
      <w:r w:rsidRPr="008F1139">
        <w:rPr>
          <w:color w:val="000000"/>
          <w:shd w:val="clear" w:color="auto" w:fill="FFFFFF"/>
        </w:rPr>
        <w:t>сторінок</w:t>
      </w:r>
      <w:proofErr w:type="spellEnd"/>
      <w:r w:rsidRPr="005A2B79">
        <w:rPr>
          <w:color w:val="000000"/>
          <w:shd w:val="clear" w:color="auto" w:fill="FFFFFF"/>
        </w:rPr>
        <w:t>.</w:t>
      </w:r>
    </w:p>
    <w:p w:rsidR="009718C5" w:rsidRDefault="009718C5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9718C5" w:rsidRDefault="009718C5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9718C5" w:rsidRDefault="009718C5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9718C5" w:rsidRDefault="009718C5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9718C5" w:rsidRDefault="009718C5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9718C5" w:rsidRDefault="009718C5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9718C5" w:rsidRDefault="009718C5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9718C5" w:rsidRDefault="009718C5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9718C5" w:rsidRDefault="009718C5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F25ACE" w:rsidRPr="009718C5" w:rsidRDefault="00DE3594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9718C5">
        <w:rPr>
          <w:rFonts w:eastAsia="Andale Sans UI"/>
          <w:b/>
          <w:kern w:val="1"/>
          <w:sz w:val="28"/>
          <w:szCs w:val="28"/>
          <w:lang w:eastAsia="ru-RU"/>
        </w:rPr>
        <w:t>РОЗДІЛ 1</w:t>
      </w:r>
    </w:p>
    <w:p w:rsidR="00DE3594" w:rsidRPr="009718C5" w:rsidRDefault="00DE3594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9718C5">
        <w:rPr>
          <w:rFonts w:eastAsia="Andale Sans UI"/>
          <w:b/>
          <w:kern w:val="1"/>
          <w:sz w:val="28"/>
          <w:szCs w:val="28"/>
          <w:lang w:eastAsia="ru-RU"/>
        </w:rPr>
        <w:t>ЗАГАЛЬНА ХАРАКТЕРИСТИКА ДОРОГОЦІННИХ МЕТАЛІВ В ВАЛЮТНІЙ СИСТЕМІ</w:t>
      </w:r>
    </w:p>
    <w:p w:rsidR="009718C5" w:rsidRDefault="009718C5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</w:p>
    <w:p w:rsidR="00DE3594" w:rsidRPr="009718C5" w:rsidRDefault="00DE3594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9718C5">
        <w:rPr>
          <w:rFonts w:eastAsia="Andale Sans UI"/>
          <w:b/>
          <w:kern w:val="1"/>
          <w:sz w:val="28"/>
          <w:szCs w:val="28"/>
          <w:lang w:eastAsia="ru-RU"/>
        </w:rPr>
        <w:t>1.1. Значення валютних металів в економічній системі</w:t>
      </w:r>
    </w:p>
    <w:p w:rsidR="00CC5269" w:rsidRPr="009718C5" w:rsidRDefault="00CC5269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</w:p>
    <w:p w:rsidR="00CC5269" w:rsidRPr="009718C5" w:rsidRDefault="00CC5269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>Важливе економічне значення товарів і дорогоцінних металів зумовлене тим, що зміни в рівні їхніх цін спроможні впливати як на виробничі, так і на інвестиційні рішення уряду та юридичних осіб, і таким чином позначатися не лише на загальній економічній активності, а й на формуванні інфляційних очікувань [</w:t>
      </w:r>
      <w:r w:rsidR="005D0A2D">
        <w:rPr>
          <w:rFonts w:eastAsia="Andale Sans UI"/>
          <w:kern w:val="1"/>
          <w:sz w:val="28"/>
          <w:szCs w:val="28"/>
          <w:lang w:eastAsia="ru-RU"/>
        </w:rPr>
        <w:t>1</w:t>
      </w:r>
      <w:r w:rsidRPr="009718C5">
        <w:rPr>
          <w:rFonts w:eastAsia="Andale Sans UI"/>
          <w:kern w:val="1"/>
          <w:sz w:val="28"/>
          <w:szCs w:val="28"/>
          <w:lang w:eastAsia="ru-RU"/>
        </w:rPr>
        <w:t>]. Значна частина сучасних економістів і політиків висловлює занепокоєння стосовно наслідків таких “нововведень”, хоча трапляються й позитивні відгуки щодо можливості застосування модифікованого золотого стандарту на даному етапі розвитку світової економіки. Одним з найвагоміших недоліків прив’язки курсу валют до золота є помітне обмеження</w:t>
      </w:r>
      <w:r w:rsidR="005D0A2D">
        <w:rPr>
          <w:rFonts w:eastAsia="Andale Sans UI"/>
          <w:kern w:val="1"/>
          <w:sz w:val="28"/>
          <w:szCs w:val="28"/>
          <w:lang w:eastAsia="ru-RU"/>
        </w:rPr>
        <w:t xml:space="preserve"> монетарної політики держав [2</w:t>
      </w: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]. </w:t>
      </w:r>
    </w:p>
    <w:p w:rsidR="00CC5269" w:rsidRPr="009718C5" w:rsidRDefault="00CC5269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Попри вагомий внесок як зарубіжних, так і вітчизняних учених у дослідження цієї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</w:t>
      </w: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 дорогоцінних металів у економіці держави</w:t>
      </w:r>
    </w:p>
    <w:p w:rsidR="00CC5269" w:rsidRPr="009718C5" w:rsidRDefault="00CC5269" w:rsidP="001505F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На думку С. </w:t>
      </w:r>
      <w:proofErr w:type="spellStart"/>
      <w:r w:rsidRPr="009718C5">
        <w:rPr>
          <w:rFonts w:eastAsia="Andale Sans UI"/>
          <w:kern w:val="1"/>
          <w:sz w:val="28"/>
          <w:szCs w:val="28"/>
          <w:lang w:eastAsia="ru-RU"/>
        </w:rPr>
        <w:t>Хармстона</w:t>
      </w:r>
      <w:proofErr w:type="spellEnd"/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, золото є довгостроковим заощадженням, оскільки цей дорогоцінний метал проявив себе краще за інші активи як засіб нагромадження багатства в період економічної нестабільності і високої інфляції. Також дослідження автора підтвердили, що, хоча ціна золота і коливається, на відміну від інших товарів та напівфабрикатів, у підсумку воно завжди повертається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</w:t>
      </w:r>
      <w:r w:rsidRPr="009718C5">
        <w:rPr>
          <w:rFonts w:eastAsia="Andale Sans UI"/>
          <w:kern w:val="1"/>
          <w:sz w:val="28"/>
          <w:szCs w:val="28"/>
          <w:lang w:eastAsia="ru-RU"/>
        </w:rPr>
        <w:t>, а також слугує додатковим товарно-матеріальним запасом, або джерелом багатства [</w:t>
      </w:r>
      <w:r w:rsidR="005D0A2D">
        <w:rPr>
          <w:rFonts w:eastAsia="Andale Sans UI"/>
          <w:kern w:val="1"/>
          <w:sz w:val="28"/>
          <w:szCs w:val="28"/>
          <w:lang w:eastAsia="ru-RU"/>
        </w:rPr>
        <w:t>9</w:t>
      </w: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]. </w:t>
      </w:r>
    </w:p>
    <w:p w:rsidR="00CC5269" w:rsidRPr="009718C5" w:rsidRDefault="00CC5269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Срібло має такі властивості: найвища </w:t>
      </w:r>
      <w:proofErr w:type="spellStart"/>
      <w:r w:rsidRPr="009718C5">
        <w:rPr>
          <w:rFonts w:eastAsia="Andale Sans UI"/>
          <w:kern w:val="1"/>
          <w:sz w:val="28"/>
          <w:szCs w:val="28"/>
          <w:lang w:eastAsia="ru-RU"/>
        </w:rPr>
        <w:t>електро</w:t>
      </w:r>
      <w:proofErr w:type="spellEnd"/>
      <w:r w:rsidRPr="009718C5">
        <w:rPr>
          <w:rFonts w:eastAsia="Andale Sans UI"/>
          <w:kern w:val="1"/>
          <w:sz w:val="28"/>
          <w:szCs w:val="28"/>
          <w:lang w:eastAsia="ru-RU"/>
        </w:rPr>
        <w:t>- і теплопровідність серед металів, низька хімічна активність, пластичність, висока здатність відбивати випромінювання [</w:t>
      </w:r>
      <w:r w:rsidR="005D0A2D">
        <w:rPr>
          <w:rFonts w:eastAsia="Andale Sans UI"/>
          <w:kern w:val="1"/>
          <w:sz w:val="28"/>
          <w:szCs w:val="28"/>
          <w:lang w:eastAsia="ru-RU"/>
        </w:rPr>
        <w:t>8</w:t>
      </w: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, c. 28]. </w:t>
      </w:r>
    </w:p>
    <w:p w:rsidR="004764B9" w:rsidRPr="009718C5" w:rsidRDefault="00CC5269" w:rsidP="001505F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lastRenderedPageBreak/>
        <w:t xml:space="preserve">Раніше дорогоцінні метали оцінювалися лише за масою. В Месопотамії найважливішими одиницями маси були </w:t>
      </w:r>
      <w:proofErr w:type="spellStart"/>
      <w:r w:rsidRPr="009718C5">
        <w:rPr>
          <w:rFonts w:eastAsia="Andale Sans UI"/>
          <w:kern w:val="1"/>
          <w:sz w:val="28"/>
          <w:szCs w:val="28"/>
          <w:lang w:eastAsia="ru-RU"/>
        </w:rPr>
        <w:t>шекель</w:t>
      </w:r>
      <w:proofErr w:type="spellEnd"/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, талант, міна і </w:t>
      </w:r>
      <w:proofErr w:type="spellStart"/>
      <w:r w:rsidRPr="009718C5">
        <w:rPr>
          <w:rFonts w:eastAsia="Andale Sans UI"/>
          <w:kern w:val="1"/>
          <w:sz w:val="28"/>
          <w:szCs w:val="28"/>
          <w:lang w:eastAsia="ru-RU"/>
        </w:rPr>
        <w:t>гера</w:t>
      </w:r>
      <w:proofErr w:type="spellEnd"/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. Талант був найбільшою одиницею ваги, а </w:t>
      </w:r>
      <w:proofErr w:type="spellStart"/>
      <w:r w:rsidRPr="009718C5">
        <w:rPr>
          <w:rFonts w:eastAsia="Andale Sans UI"/>
          <w:kern w:val="1"/>
          <w:sz w:val="28"/>
          <w:szCs w:val="28"/>
          <w:lang w:eastAsia="ru-RU"/>
        </w:rPr>
        <w:t>шекель</w:t>
      </w:r>
      <w:proofErr w:type="spellEnd"/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 – найпоширенішою. Завдяки цій поширеності </w:t>
      </w:r>
      <w:proofErr w:type="spellStart"/>
      <w:r w:rsidRPr="009718C5">
        <w:rPr>
          <w:rFonts w:eastAsia="Andale Sans UI"/>
          <w:kern w:val="1"/>
          <w:sz w:val="28"/>
          <w:szCs w:val="28"/>
          <w:lang w:eastAsia="ru-RU"/>
        </w:rPr>
        <w:t>шекелем</w:t>
      </w:r>
      <w:proofErr w:type="spellEnd"/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 згодом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</w:t>
      </w:r>
      <w:r w:rsidR="004764B9" w:rsidRPr="009718C5">
        <w:rPr>
          <w:rFonts w:eastAsia="Andale Sans UI"/>
          <w:kern w:val="1"/>
          <w:sz w:val="28"/>
          <w:szCs w:val="28"/>
          <w:lang w:eastAsia="ru-RU"/>
        </w:rPr>
        <w:t xml:space="preserve"> розробці нових покладів жовтого металу, проте, перш ніж ринок відчує зростання пропозиції золота, минуть роки [</w:t>
      </w:r>
      <w:r w:rsidR="00A92398">
        <w:rPr>
          <w:rFonts w:eastAsia="Andale Sans UI"/>
          <w:kern w:val="1"/>
          <w:sz w:val="28"/>
          <w:szCs w:val="28"/>
          <w:lang w:eastAsia="ru-RU"/>
        </w:rPr>
        <w:t>22</w:t>
      </w:r>
      <w:r w:rsidR="004764B9" w:rsidRPr="009718C5">
        <w:rPr>
          <w:rFonts w:eastAsia="Andale Sans UI"/>
          <w:kern w:val="1"/>
          <w:sz w:val="28"/>
          <w:szCs w:val="28"/>
          <w:lang w:eastAsia="ru-RU"/>
        </w:rPr>
        <w:t xml:space="preserve">]. </w:t>
      </w:r>
    </w:p>
    <w:p w:rsidR="009718C5" w:rsidRDefault="004764B9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Отже,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</w:t>
      </w:r>
    </w:p>
    <w:p w:rsidR="009718C5" w:rsidRDefault="009718C5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</w:p>
    <w:p w:rsidR="000E06C5" w:rsidRPr="009718C5" w:rsidRDefault="000E06C5" w:rsidP="000E06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9718C5">
        <w:rPr>
          <w:rFonts w:eastAsia="Andale Sans UI"/>
          <w:b/>
          <w:kern w:val="1"/>
          <w:sz w:val="28"/>
          <w:szCs w:val="28"/>
          <w:lang w:eastAsia="ru-RU"/>
        </w:rPr>
        <w:t>1.2. Особливості операцій з банківськими металами в Україні</w:t>
      </w:r>
    </w:p>
    <w:p w:rsidR="000E06C5" w:rsidRPr="009718C5" w:rsidRDefault="000E06C5" w:rsidP="000E06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</w:p>
    <w:p w:rsidR="000E06C5" w:rsidRPr="009718C5" w:rsidRDefault="000E06C5" w:rsidP="001505F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У постанові Національного Банку України “Про затвердження Положення про здійснення операцій з банківськими металами та внесення змін до деяких нормативно-правових актів Національного банку України” </w:t>
      </w:r>
      <w:proofErr w:type="spellStart"/>
      <w:r w:rsidRPr="009718C5">
        <w:rPr>
          <w:rFonts w:eastAsia="Andale Sans UI"/>
          <w:kern w:val="1"/>
          <w:sz w:val="28"/>
          <w:szCs w:val="28"/>
          <w:lang w:eastAsia="ru-RU"/>
        </w:rPr>
        <w:t>вiд</w:t>
      </w:r>
      <w:proofErr w:type="spellEnd"/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 06.08.2003 року зазначено, що облік таких операцій повинен здійснюватися окремо для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…..</w:t>
      </w: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 і стандартних зливках і в порошках; </w:t>
      </w:r>
    </w:p>
    <w:p w:rsidR="000E06C5" w:rsidRPr="009718C5" w:rsidRDefault="000E06C5" w:rsidP="000E06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> золото, срібло, платина і паладій у монетах [2</w:t>
      </w:r>
      <w:r w:rsidR="00A92398">
        <w:rPr>
          <w:rFonts w:eastAsia="Andale Sans UI"/>
          <w:kern w:val="1"/>
          <w:sz w:val="28"/>
          <w:szCs w:val="28"/>
          <w:lang w:eastAsia="ru-RU"/>
        </w:rPr>
        <w:t>3</w:t>
      </w: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]. </w:t>
      </w:r>
    </w:p>
    <w:p w:rsidR="000E06C5" w:rsidRPr="009718C5" w:rsidRDefault="000E06C5" w:rsidP="000E06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В Україні здійснювати операції з банківськими металами на міжбанківському і міжнародному валютних ринках можуть уповноважені банки. </w:t>
      </w:r>
    </w:p>
    <w:p w:rsidR="000E06C5" w:rsidRPr="009718C5" w:rsidRDefault="000E06C5" w:rsidP="001505F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До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</w:t>
      </w: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 заставу; </w:t>
      </w:r>
    </w:p>
    <w:p w:rsidR="000E06C5" w:rsidRPr="009718C5" w:rsidRDefault="000E06C5" w:rsidP="000E06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 відповідальне зберігання; </w:t>
      </w:r>
    </w:p>
    <w:p w:rsidR="000E06C5" w:rsidRPr="009718C5" w:rsidRDefault="000E06C5" w:rsidP="000E06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> перевезення. [2</w:t>
      </w:r>
      <w:r w:rsidR="00A92398">
        <w:rPr>
          <w:rFonts w:eastAsia="Andale Sans UI"/>
          <w:kern w:val="1"/>
          <w:sz w:val="28"/>
          <w:szCs w:val="28"/>
          <w:lang w:eastAsia="ru-RU"/>
        </w:rPr>
        <w:t>3</w:t>
      </w:r>
      <w:r w:rsidRPr="009718C5">
        <w:rPr>
          <w:rFonts w:eastAsia="Andale Sans UI"/>
          <w:kern w:val="1"/>
          <w:sz w:val="28"/>
          <w:szCs w:val="28"/>
          <w:lang w:eastAsia="ru-RU"/>
        </w:rPr>
        <w:t>].</w:t>
      </w:r>
    </w:p>
    <w:p w:rsidR="000E06C5" w:rsidRDefault="000E06C5" w:rsidP="001505F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Ринок дорогоцінних металів в Україні є важливим сегментом національного валютного ринку, і відповідно фінансового ринку. Він роз- почав свою діяльність як організований ринок у 1998 р. Хоча його формування розпочалося ще з 2 грудня 1991 р. коли ВРУ прийняла постанову «Про створення запасу дорогоцінних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</w:t>
      </w:r>
      <w:proofErr w:type="spellStart"/>
      <w:r w:rsidRPr="00FC4790">
        <w:rPr>
          <w:rFonts w:eastAsia="Andale Sans UI"/>
          <w:kern w:val="1"/>
          <w:sz w:val="28"/>
          <w:szCs w:val="28"/>
          <w:lang w:eastAsia="ru-RU"/>
        </w:rPr>
        <w:t>обить</w:t>
      </w:r>
      <w:proofErr w:type="spellEnd"/>
      <w:r w:rsidRPr="00FC4790">
        <w:rPr>
          <w:rFonts w:eastAsia="Andale Sans UI"/>
          <w:kern w:val="1"/>
          <w:sz w:val="28"/>
          <w:szCs w:val="28"/>
          <w:lang w:eastAsia="ru-RU"/>
        </w:rPr>
        <w:t xml:space="preserve"> їх зручними для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FC4790">
        <w:rPr>
          <w:rFonts w:eastAsia="Andale Sans UI"/>
          <w:kern w:val="1"/>
          <w:sz w:val="28"/>
          <w:szCs w:val="28"/>
          <w:lang w:eastAsia="ru-RU"/>
        </w:rPr>
        <w:t>продажу навіть на неорганізованих ринках. Дохідність інвестицій у золоті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FC4790">
        <w:rPr>
          <w:rFonts w:eastAsia="Andale Sans UI"/>
          <w:kern w:val="1"/>
          <w:sz w:val="28"/>
          <w:szCs w:val="28"/>
          <w:lang w:eastAsia="ru-RU"/>
        </w:rPr>
        <w:t xml:space="preserve">монети є достатньо високою та такою, що зазнає коливань </w:t>
      </w:r>
      <w:r w:rsidR="00A92398">
        <w:rPr>
          <w:rFonts w:eastAsia="Andale Sans UI"/>
          <w:kern w:val="1"/>
          <w:sz w:val="28"/>
          <w:szCs w:val="28"/>
          <w:lang w:eastAsia="ru-RU"/>
        </w:rPr>
        <w:t>у відносно незначному діапазоні</w:t>
      </w:r>
      <w:r w:rsidR="00A92398" w:rsidRPr="00A92398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="00A92398" w:rsidRPr="009718C5">
        <w:rPr>
          <w:rFonts w:eastAsia="Andale Sans UI"/>
          <w:kern w:val="1"/>
          <w:sz w:val="28"/>
          <w:szCs w:val="28"/>
          <w:lang w:eastAsia="ru-RU"/>
        </w:rPr>
        <w:t>[</w:t>
      </w:r>
      <w:r w:rsidR="00A92398">
        <w:rPr>
          <w:rFonts w:eastAsia="Andale Sans UI"/>
          <w:kern w:val="1"/>
          <w:sz w:val="28"/>
          <w:szCs w:val="28"/>
          <w:lang w:eastAsia="ru-RU"/>
        </w:rPr>
        <w:t>28].</w:t>
      </w:r>
    </w:p>
    <w:p w:rsidR="000E06C5" w:rsidRPr="009718C5" w:rsidRDefault="000E06C5" w:rsidP="000E06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Отже,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</w:t>
      </w:r>
    </w:p>
    <w:p w:rsidR="000E06C5" w:rsidRPr="007C1354" w:rsidRDefault="000E06C5" w:rsidP="000E06C5">
      <w:pPr>
        <w:rPr>
          <w:lang w:val="uk-UA"/>
        </w:rPr>
      </w:pPr>
    </w:p>
    <w:p w:rsidR="00F25ACE" w:rsidRPr="009718C5" w:rsidRDefault="00DE3594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9718C5">
        <w:rPr>
          <w:rFonts w:eastAsia="Andale Sans UI"/>
          <w:b/>
          <w:kern w:val="1"/>
          <w:sz w:val="28"/>
          <w:szCs w:val="28"/>
          <w:lang w:eastAsia="ru-RU"/>
        </w:rPr>
        <w:t>РОЗДІЛ 2</w:t>
      </w:r>
    </w:p>
    <w:p w:rsidR="00DE3594" w:rsidRPr="009718C5" w:rsidRDefault="00DE3594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9718C5">
        <w:rPr>
          <w:rFonts w:eastAsia="Andale Sans UI"/>
          <w:b/>
          <w:kern w:val="1"/>
          <w:sz w:val="28"/>
          <w:szCs w:val="28"/>
          <w:lang w:eastAsia="ru-RU"/>
        </w:rPr>
        <w:t xml:space="preserve">ХАРАКТЕРИСТИКА  </w:t>
      </w:r>
      <w:r w:rsidR="004E25D3" w:rsidRPr="009718C5">
        <w:rPr>
          <w:rFonts w:eastAsia="Andale Sans UI"/>
          <w:b/>
          <w:kern w:val="1"/>
          <w:sz w:val="28"/>
          <w:szCs w:val="28"/>
          <w:lang w:eastAsia="ru-RU"/>
        </w:rPr>
        <w:t>ПРАВОВОГО РЕГУЛЮВАННЯ ІНВЕСТИЦІЙНИХ  МОНЕТ</w:t>
      </w:r>
    </w:p>
    <w:p w:rsidR="009718C5" w:rsidRPr="009718C5" w:rsidRDefault="009718C5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</w:p>
    <w:p w:rsidR="00DE3594" w:rsidRDefault="00DE3594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9718C5">
        <w:rPr>
          <w:rFonts w:eastAsia="Andale Sans UI"/>
          <w:b/>
          <w:kern w:val="1"/>
          <w:sz w:val="28"/>
          <w:szCs w:val="28"/>
          <w:lang w:eastAsia="ru-RU"/>
        </w:rPr>
        <w:t>2.1. Поняття та види інвестиційних монет</w:t>
      </w:r>
    </w:p>
    <w:p w:rsidR="009718C5" w:rsidRPr="00194B98" w:rsidRDefault="009718C5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</w:p>
    <w:p w:rsidR="00464ECB" w:rsidRPr="00464ECB" w:rsidRDefault="00464ECB" w:rsidP="00464ECB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464ECB">
        <w:rPr>
          <w:rFonts w:eastAsia="Andale Sans UI"/>
          <w:kern w:val="1"/>
          <w:sz w:val="28"/>
          <w:szCs w:val="28"/>
          <w:lang w:eastAsia="ru-RU"/>
        </w:rPr>
        <w:t>В даний час існує безліч різних монет, що мають високу цінність, що перевищує один мільйон гривень. Однак, вони є колекційними.</w:t>
      </w:r>
    </w:p>
    <w:p w:rsidR="00FC4790" w:rsidRPr="00A92398" w:rsidRDefault="00464ECB" w:rsidP="001505F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464ECB">
        <w:rPr>
          <w:rFonts w:eastAsia="Andale Sans UI"/>
          <w:kern w:val="1"/>
          <w:sz w:val="28"/>
          <w:szCs w:val="28"/>
          <w:lang w:eastAsia="ru-RU"/>
        </w:rPr>
        <w:t xml:space="preserve">Інвестиційні монети виготовляються з дорогоцінних металів і купуються з метою отримання подальшої вигоди за рахунок підвищення курсу цін на золото або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</w:t>
      </w:r>
      <w:r w:rsidR="00FC4790" w:rsidRPr="00FC4790">
        <w:rPr>
          <w:rFonts w:eastAsia="Andale Sans UI"/>
          <w:kern w:val="1"/>
          <w:sz w:val="28"/>
          <w:szCs w:val="28"/>
          <w:lang w:eastAsia="ru-RU"/>
        </w:rPr>
        <w:t xml:space="preserve"> Аравії і деяких країнах</w:t>
      </w:r>
      <w:r w:rsidR="00FC4790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="00FC4790" w:rsidRPr="00FC4790">
        <w:rPr>
          <w:rFonts w:eastAsia="Andale Sans UI"/>
          <w:kern w:val="1"/>
          <w:sz w:val="28"/>
          <w:szCs w:val="28"/>
          <w:lang w:eastAsia="ru-RU"/>
        </w:rPr>
        <w:t>Персидського заливу іноземні золоті монети, переважно англійські, використовувались як справжні гроші у внутрішньому грошовому обігу [</w:t>
      </w:r>
      <w:r w:rsidR="00A92398">
        <w:rPr>
          <w:rFonts w:eastAsia="Andale Sans UI"/>
          <w:kern w:val="1"/>
          <w:sz w:val="28"/>
          <w:szCs w:val="28"/>
          <w:lang w:eastAsia="ru-RU"/>
        </w:rPr>
        <w:t>30</w:t>
      </w:r>
      <w:r w:rsidR="00FC4790" w:rsidRPr="00FC4790">
        <w:rPr>
          <w:rFonts w:eastAsia="Andale Sans UI"/>
          <w:kern w:val="1"/>
          <w:sz w:val="28"/>
          <w:szCs w:val="28"/>
          <w:lang w:eastAsia="ru-RU"/>
        </w:rPr>
        <w:t>, с. 356].</w:t>
      </w:r>
    </w:p>
    <w:p w:rsidR="00194B98" w:rsidRDefault="00194B98" w:rsidP="00FC479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194B98">
        <w:rPr>
          <w:rFonts w:eastAsia="Andale Sans UI"/>
          <w:kern w:val="1"/>
          <w:sz w:val="28"/>
          <w:szCs w:val="28"/>
          <w:lang w:eastAsia="ru-RU"/>
        </w:rPr>
        <w:t>Інвестиційна монета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194B98">
        <w:rPr>
          <w:rFonts w:eastAsia="Andale Sans UI"/>
          <w:kern w:val="1"/>
          <w:sz w:val="28"/>
          <w:szCs w:val="28"/>
          <w:lang w:eastAsia="ru-RU"/>
        </w:rPr>
        <w:t>(</w:t>
      </w:r>
      <w:proofErr w:type="spellStart"/>
      <w:r w:rsidR="005D0D51">
        <w:rPr>
          <w:rFonts w:eastAsia="Andale Sans UI"/>
          <w:kern w:val="1"/>
          <w:sz w:val="28"/>
          <w:szCs w:val="28"/>
          <w:lang w:eastAsia="ru-RU"/>
        </w:rPr>
        <w:fldChar w:fldCharType="begin"/>
      </w:r>
      <w:r w:rsidR="005D0D51">
        <w:rPr>
          <w:rFonts w:eastAsia="Andale Sans UI"/>
          <w:kern w:val="1"/>
          <w:sz w:val="28"/>
          <w:szCs w:val="28"/>
          <w:lang w:eastAsia="ru-RU"/>
        </w:rPr>
        <w:instrText xml:space="preserve"> HYPERLINK "https://uk.wikipedia.org/wiki/%D0%90%D0%BD%D0%B3%D0%BB%D1%96%D0%B9%D1%81%D1%8C%D0%BA%</w:instrText>
      </w:r>
      <w:r w:rsidR="005D0D51">
        <w:rPr>
          <w:rFonts w:eastAsia="Andale Sans UI"/>
          <w:kern w:val="1"/>
          <w:sz w:val="28"/>
          <w:szCs w:val="28"/>
          <w:lang w:eastAsia="ru-RU"/>
        </w:rPr>
        <w:instrText xml:space="preserve">D0%B0_%D0%BC%D0%BE%D0%B2%D0%B0" \o "Англійська мова" </w:instrText>
      </w:r>
      <w:r w:rsidR="005D0D51">
        <w:rPr>
          <w:rFonts w:eastAsia="Andale Sans UI"/>
          <w:kern w:val="1"/>
          <w:sz w:val="28"/>
          <w:szCs w:val="28"/>
          <w:lang w:eastAsia="ru-RU"/>
        </w:rPr>
        <w:fldChar w:fldCharType="separate"/>
      </w:r>
      <w:r w:rsidRPr="00194B98">
        <w:rPr>
          <w:rFonts w:eastAsia="Andale Sans UI"/>
          <w:kern w:val="1"/>
          <w:sz w:val="28"/>
          <w:szCs w:val="28"/>
          <w:lang w:eastAsia="ru-RU"/>
        </w:rPr>
        <w:t>англ</w:t>
      </w:r>
      <w:proofErr w:type="spellEnd"/>
      <w:r w:rsidRPr="00194B98">
        <w:rPr>
          <w:rFonts w:eastAsia="Andale Sans UI"/>
          <w:kern w:val="1"/>
          <w:sz w:val="28"/>
          <w:szCs w:val="28"/>
          <w:lang w:eastAsia="ru-RU"/>
        </w:rPr>
        <w:t>.</w:t>
      </w:r>
      <w:r w:rsidR="005D0D51">
        <w:rPr>
          <w:rFonts w:eastAsia="Andale Sans UI"/>
          <w:kern w:val="1"/>
          <w:sz w:val="28"/>
          <w:szCs w:val="28"/>
          <w:lang w:eastAsia="ru-RU"/>
        </w:rPr>
        <w:fldChar w:fldCharType="end"/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194B98">
        <w:rPr>
          <w:rFonts w:eastAsia="Andale Sans UI"/>
          <w:kern w:val="1"/>
          <w:sz w:val="28"/>
          <w:szCs w:val="28"/>
          <w:lang w:eastAsia="ru-RU"/>
        </w:rPr>
        <w:t>bullion</w:t>
      </w:r>
      <w:proofErr w:type="spellEnd"/>
      <w:r w:rsidRPr="00194B98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194B98">
        <w:rPr>
          <w:rFonts w:eastAsia="Andale Sans UI"/>
          <w:kern w:val="1"/>
          <w:sz w:val="28"/>
          <w:szCs w:val="28"/>
          <w:lang w:eastAsia="ru-RU"/>
        </w:rPr>
        <w:t>coin</w:t>
      </w:r>
      <w:proofErr w:type="spellEnd"/>
      <w:r w:rsidRPr="00194B98">
        <w:rPr>
          <w:rFonts w:eastAsia="Andale Sans UI"/>
          <w:kern w:val="1"/>
          <w:sz w:val="28"/>
          <w:szCs w:val="28"/>
          <w:lang w:eastAsia="ru-RU"/>
        </w:rPr>
        <w:t>)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194B98">
        <w:rPr>
          <w:rFonts w:eastAsia="Andale Sans UI"/>
          <w:kern w:val="1"/>
          <w:sz w:val="28"/>
          <w:szCs w:val="28"/>
          <w:lang w:eastAsia="ru-RU"/>
        </w:rPr>
        <w:t>—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hyperlink r:id="rId8" w:tooltip="Монета" w:history="1">
        <w:r w:rsidRPr="00194B98">
          <w:rPr>
            <w:rFonts w:eastAsia="Andale Sans UI"/>
            <w:kern w:val="1"/>
            <w:sz w:val="28"/>
            <w:szCs w:val="28"/>
            <w:lang w:eastAsia="ru-RU"/>
          </w:rPr>
          <w:t>монета</w:t>
        </w:r>
      </w:hyperlink>
      <w:r w:rsidRPr="00194B98">
        <w:rPr>
          <w:rFonts w:eastAsia="Andale Sans UI"/>
          <w:kern w:val="1"/>
          <w:sz w:val="28"/>
          <w:szCs w:val="28"/>
          <w:lang w:eastAsia="ru-RU"/>
        </w:rPr>
        <w:t>, виготовлена з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hyperlink r:id="rId9" w:tooltip="Дорогоцінні метали" w:history="1">
        <w:r w:rsidRPr="00194B98">
          <w:rPr>
            <w:rFonts w:eastAsia="Andale Sans UI"/>
            <w:kern w:val="1"/>
            <w:sz w:val="28"/>
            <w:szCs w:val="28"/>
            <w:lang w:eastAsia="ru-RU"/>
          </w:rPr>
          <w:t>коштовного металу</w:t>
        </w:r>
      </w:hyperlink>
      <w:r w:rsidRPr="00194B98">
        <w:rPr>
          <w:rFonts w:eastAsia="Andale Sans UI"/>
          <w:kern w:val="1"/>
          <w:sz w:val="28"/>
          <w:szCs w:val="28"/>
          <w:lang w:eastAsia="ru-RU"/>
        </w:rPr>
        <w:t>, що використовується як засіб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hyperlink r:id="rId10" w:tooltip="Заощадження" w:history="1">
        <w:r w:rsidRPr="00194B98">
          <w:rPr>
            <w:rFonts w:eastAsia="Andale Sans UI"/>
            <w:kern w:val="1"/>
            <w:sz w:val="28"/>
            <w:szCs w:val="28"/>
            <w:lang w:eastAsia="ru-RU"/>
          </w:rPr>
          <w:t>заощадження</w:t>
        </w:r>
      </w:hyperlink>
      <w:r w:rsidRPr="00194B98">
        <w:rPr>
          <w:rFonts w:eastAsia="Andale Sans UI"/>
          <w:kern w:val="1"/>
          <w:sz w:val="28"/>
          <w:szCs w:val="28"/>
          <w:lang w:eastAsia="ru-RU"/>
        </w:rPr>
        <w:t>,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hyperlink r:id="rId11" w:tooltip="Інвестиція" w:history="1">
        <w:r w:rsidRPr="00194B98">
          <w:rPr>
            <w:rFonts w:eastAsia="Andale Sans UI"/>
            <w:kern w:val="1"/>
            <w:sz w:val="28"/>
            <w:szCs w:val="28"/>
            <w:lang w:eastAsia="ru-RU"/>
          </w:rPr>
          <w:t>інвестування</w:t>
        </w:r>
      </w:hyperlink>
      <w:r w:rsidRPr="00194B98">
        <w:rPr>
          <w:rFonts w:eastAsia="Andale Sans UI"/>
          <w:kern w:val="1"/>
          <w:sz w:val="28"/>
          <w:szCs w:val="28"/>
          <w:lang w:eastAsia="ru-RU"/>
        </w:rPr>
        <w:t>, та розрахунків. Інвестиційні монети є товаром</w:t>
      </w:r>
      <w:r>
        <w:rPr>
          <w:rFonts w:eastAsia="Andale Sans UI"/>
          <w:kern w:val="1"/>
          <w:sz w:val="28"/>
          <w:szCs w:val="28"/>
          <w:lang w:eastAsia="ru-RU"/>
        </w:rPr>
        <w:t xml:space="preserve">, який інвестори використовують </w:t>
      </w:r>
      <w:r w:rsidRPr="00194B98">
        <w:rPr>
          <w:rFonts w:eastAsia="Andale Sans UI"/>
          <w:kern w:val="1"/>
          <w:sz w:val="28"/>
          <w:szCs w:val="28"/>
          <w:lang w:eastAsia="ru-RU"/>
        </w:rPr>
        <w:t>для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hyperlink r:id="rId12" w:tooltip="Хеджування" w:history="1">
        <w:r w:rsidRPr="00194B98">
          <w:rPr>
            <w:rFonts w:eastAsia="Andale Sans UI"/>
            <w:kern w:val="1"/>
            <w:sz w:val="28"/>
            <w:szCs w:val="28"/>
            <w:lang w:eastAsia="ru-RU"/>
          </w:rPr>
          <w:t>хеджування</w:t>
        </w:r>
      </w:hyperlink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194B98">
        <w:rPr>
          <w:rFonts w:eastAsia="Andale Sans UI"/>
          <w:kern w:val="1"/>
          <w:sz w:val="28"/>
          <w:szCs w:val="28"/>
          <w:lang w:eastAsia="ru-RU"/>
        </w:rPr>
        <w:t>проти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hyperlink r:id="rId13" w:tooltip="Рецесія" w:history="1">
        <w:r w:rsidRPr="00194B98">
          <w:rPr>
            <w:rFonts w:eastAsia="Andale Sans UI"/>
            <w:kern w:val="1"/>
            <w:sz w:val="28"/>
            <w:szCs w:val="28"/>
            <w:lang w:eastAsia="ru-RU"/>
          </w:rPr>
          <w:t>рецесії</w:t>
        </w:r>
      </w:hyperlink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194B98">
        <w:rPr>
          <w:rFonts w:eastAsia="Andale Sans UI"/>
          <w:kern w:val="1"/>
          <w:sz w:val="28"/>
          <w:szCs w:val="28"/>
          <w:lang w:eastAsia="ru-RU"/>
        </w:rPr>
        <w:t>або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hyperlink r:id="rId14" w:tooltip="Інфляція" w:history="1">
        <w:r w:rsidRPr="00194B98">
          <w:rPr>
            <w:rFonts w:eastAsia="Andale Sans UI"/>
            <w:kern w:val="1"/>
            <w:sz w:val="28"/>
            <w:szCs w:val="28"/>
            <w:lang w:eastAsia="ru-RU"/>
          </w:rPr>
          <w:t>інфляції</w:t>
        </w:r>
      </w:hyperlink>
      <w:r w:rsidRPr="00194B98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r w:rsidR="00A92398" w:rsidRPr="009718C5">
        <w:rPr>
          <w:rFonts w:eastAsia="Andale Sans UI"/>
          <w:kern w:val="1"/>
          <w:sz w:val="28"/>
          <w:szCs w:val="28"/>
          <w:lang w:eastAsia="ru-RU"/>
        </w:rPr>
        <w:t>[</w:t>
      </w:r>
      <w:r w:rsidR="00A92398">
        <w:rPr>
          <w:rFonts w:eastAsia="Andale Sans UI"/>
          <w:kern w:val="1"/>
          <w:sz w:val="28"/>
          <w:szCs w:val="28"/>
          <w:lang w:eastAsia="ru-RU"/>
        </w:rPr>
        <w:t>31].</w:t>
      </w:r>
    </w:p>
    <w:p w:rsidR="00454E2A" w:rsidRPr="00454E2A" w:rsidRDefault="00704198" w:rsidP="001505F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704198">
        <w:rPr>
          <w:rFonts w:eastAsia="Andale Sans UI"/>
          <w:kern w:val="1"/>
          <w:sz w:val="28"/>
          <w:szCs w:val="28"/>
          <w:lang w:eastAsia="ru-RU"/>
        </w:rPr>
        <w:t xml:space="preserve">Інвестиційні монети України (далі – інвестиційні монети) – це особлива група сучасної монетної продукції, яка призначена для вкладання коштів інвесторами – фізичними та юридичними особами. Монети цієї групи виготовляються із золота або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</w:t>
      </w:r>
      <w:r w:rsidRPr="00704198">
        <w:rPr>
          <w:rFonts w:eastAsia="Andale Sans UI"/>
          <w:kern w:val="1"/>
          <w:sz w:val="28"/>
          <w:szCs w:val="28"/>
          <w:lang w:eastAsia="ru-RU"/>
        </w:rPr>
        <w:t xml:space="preserve"> на ваговимірювальних приладах (вагах) відповідного класу точності, що допускають похибку залежно від</w:t>
      </w:r>
      <w:r w:rsidRPr="00A20E2F">
        <w:rPr>
          <w:rFonts w:eastAsia="Andale Sans UI"/>
          <w:kern w:val="1"/>
          <w:sz w:val="28"/>
          <w:szCs w:val="28"/>
          <w:lang w:eastAsia="ru-RU"/>
        </w:rPr>
        <w:t> </w:t>
      </w:r>
      <w:proofErr w:type="spellStart"/>
      <w:r w:rsidRPr="00A20E2F">
        <w:rPr>
          <w:rFonts w:eastAsia="Andale Sans UI"/>
          <w:kern w:val="1"/>
          <w:sz w:val="28"/>
          <w:szCs w:val="28"/>
          <w:lang w:eastAsia="ru-RU"/>
        </w:rPr>
        <w:t>зважуваної</w:t>
      </w:r>
      <w:proofErr w:type="spellEnd"/>
      <w:r w:rsidRPr="00A20E2F">
        <w:rPr>
          <w:rFonts w:eastAsia="Andale Sans UI"/>
          <w:kern w:val="1"/>
          <w:sz w:val="28"/>
          <w:szCs w:val="28"/>
          <w:lang w:eastAsia="ru-RU"/>
        </w:rPr>
        <w:t> </w:t>
      </w:r>
      <w:r w:rsidRPr="00704198">
        <w:rPr>
          <w:rFonts w:eastAsia="Andale Sans UI"/>
          <w:kern w:val="1"/>
          <w:sz w:val="28"/>
          <w:szCs w:val="28"/>
          <w:lang w:eastAsia="ru-RU"/>
        </w:rPr>
        <w:t xml:space="preserve">ваги та не мають перевищувати значень, затверджених у ГОСТ 24104-88, прийнятого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</w:t>
      </w:r>
      <w:r w:rsidR="00454E2A" w:rsidRPr="00454E2A">
        <w:rPr>
          <w:rFonts w:eastAsia="Andale Sans UI"/>
          <w:kern w:val="1"/>
          <w:sz w:val="28"/>
          <w:szCs w:val="28"/>
          <w:lang w:eastAsia="ru-RU"/>
        </w:rPr>
        <w:t xml:space="preserve"> МИХАЇЛА (рядки з поеми Т. Г. Шевченка "Гайдамаки").</w:t>
      </w:r>
      <w:r w:rsidR="00A92398" w:rsidRPr="009718C5">
        <w:rPr>
          <w:rFonts w:eastAsia="Andale Sans UI"/>
          <w:kern w:val="1"/>
          <w:sz w:val="28"/>
          <w:szCs w:val="28"/>
          <w:lang w:eastAsia="ru-RU"/>
        </w:rPr>
        <w:t>[</w:t>
      </w:r>
      <w:r w:rsidR="00A92398">
        <w:rPr>
          <w:rFonts w:eastAsia="Andale Sans UI"/>
          <w:kern w:val="1"/>
          <w:sz w:val="28"/>
          <w:szCs w:val="28"/>
          <w:lang w:eastAsia="ru-RU"/>
        </w:rPr>
        <w:t>37].</w:t>
      </w:r>
    </w:p>
    <w:p w:rsidR="00454E2A" w:rsidRPr="00454E2A" w:rsidRDefault="00454E2A" w:rsidP="00454E2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454E2A">
        <w:rPr>
          <w:rFonts w:eastAsia="Andale Sans UI"/>
          <w:kern w:val="1"/>
          <w:sz w:val="28"/>
          <w:szCs w:val="28"/>
          <w:lang w:eastAsia="ru-RU"/>
        </w:rPr>
        <w:t>Ціни купівлі/продажу інвестиційних монет України станом на 04.02.2019</w:t>
      </w:r>
    </w:p>
    <w:tbl>
      <w:tblPr>
        <w:tblW w:w="4645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514"/>
        <w:gridCol w:w="1702"/>
        <w:gridCol w:w="2267"/>
      </w:tblGrid>
      <w:tr w:rsidR="00454E2A" w:rsidRPr="00454E2A" w:rsidTr="001505F5">
        <w:tc>
          <w:tcPr>
            <w:tcW w:w="236" w:type="pct"/>
            <w:tcBorders>
              <w:bottom w:val="single" w:sz="8" w:space="0" w:color="DEE6ED"/>
            </w:tcBorders>
            <w:shd w:val="clear" w:color="auto" w:fill="E36A6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54E2A" w:rsidRPr="00454E2A" w:rsidRDefault="00454E2A">
            <w:pPr>
              <w:pStyle w:val="a4"/>
              <w:spacing w:line="270" w:lineRule="atLeast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535" w:type="pct"/>
            <w:tcBorders>
              <w:bottom w:val="single" w:sz="8" w:space="0" w:color="DEE6ED"/>
            </w:tcBorders>
            <w:shd w:val="clear" w:color="auto" w:fill="E36A6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54E2A" w:rsidRPr="00454E2A" w:rsidRDefault="00454E2A">
            <w:pPr>
              <w:pStyle w:val="a4"/>
              <w:spacing w:line="270" w:lineRule="atLeast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956" w:type="pct"/>
            <w:tcBorders>
              <w:bottom w:val="single" w:sz="8" w:space="0" w:color="DEE6ED"/>
            </w:tcBorders>
            <w:shd w:val="clear" w:color="auto" w:fill="E36A6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54E2A" w:rsidRPr="00454E2A" w:rsidRDefault="00454E2A">
            <w:pPr>
              <w:pStyle w:val="a4"/>
              <w:spacing w:line="270" w:lineRule="atLeast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3" w:type="pct"/>
            <w:tcBorders>
              <w:bottom w:val="single" w:sz="8" w:space="0" w:color="DEE6ED"/>
            </w:tcBorders>
            <w:shd w:val="clear" w:color="auto" w:fill="E36A6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54E2A" w:rsidRPr="00454E2A" w:rsidRDefault="00454E2A">
            <w:pPr>
              <w:pStyle w:val="a4"/>
              <w:spacing w:line="270" w:lineRule="atLeast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454E2A" w:rsidRPr="00454E2A" w:rsidTr="001505F5">
        <w:tc>
          <w:tcPr>
            <w:tcW w:w="236" w:type="pct"/>
            <w:tcBorders>
              <w:bottom w:val="single" w:sz="8" w:space="0" w:color="DEE6ED"/>
            </w:tcBorders>
            <w:shd w:val="clear" w:color="auto" w:fill="E36A6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54E2A" w:rsidRPr="00454E2A" w:rsidRDefault="00454E2A">
            <w:pPr>
              <w:pStyle w:val="a4"/>
              <w:spacing w:line="270" w:lineRule="atLeast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535" w:type="pct"/>
            <w:tcBorders>
              <w:bottom w:val="single" w:sz="4" w:space="0" w:color="DEE6E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4E2A" w:rsidRPr="00454E2A" w:rsidRDefault="00454E2A">
            <w:pPr>
              <w:pStyle w:val="a4"/>
              <w:spacing w:before="0" w:beforeAutospacing="0" w:after="0" w:afterAutospacing="0" w:line="270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56" w:type="pct"/>
            <w:tcBorders>
              <w:bottom w:val="single" w:sz="4" w:space="0" w:color="DEE6E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4E2A" w:rsidRPr="00454E2A" w:rsidRDefault="00454E2A">
            <w:pPr>
              <w:pStyle w:val="a4"/>
              <w:spacing w:before="0" w:beforeAutospacing="0" w:after="0" w:afterAutospacing="0" w:line="270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3" w:type="pct"/>
            <w:tcBorders>
              <w:bottom w:val="single" w:sz="4" w:space="0" w:color="DEE6E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4E2A" w:rsidRPr="00454E2A" w:rsidRDefault="00454E2A">
            <w:pPr>
              <w:pStyle w:val="a4"/>
              <w:spacing w:before="0" w:beforeAutospacing="0" w:after="0" w:afterAutospacing="0" w:line="270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54E2A" w:rsidRPr="00454E2A" w:rsidTr="001505F5">
        <w:tc>
          <w:tcPr>
            <w:tcW w:w="236" w:type="pct"/>
            <w:tcBorders>
              <w:bottom w:val="single" w:sz="8" w:space="0" w:color="DEE6ED"/>
            </w:tcBorders>
            <w:shd w:val="clear" w:color="auto" w:fill="E36A6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54E2A" w:rsidRPr="00454E2A" w:rsidRDefault="00454E2A">
            <w:pPr>
              <w:pStyle w:val="a4"/>
              <w:spacing w:line="270" w:lineRule="atLeast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535" w:type="pct"/>
            <w:tcBorders>
              <w:bottom w:val="single" w:sz="4" w:space="0" w:color="DEE6E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4E2A" w:rsidRPr="00454E2A" w:rsidRDefault="00454E2A">
            <w:pPr>
              <w:pStyle w:val="a4"/>
              <w:spacing w:before="0" w:beforeAutospacing="0" w:after="0" w:afterAutospacing="0" w:line="270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56" w:type="pct"/>
            <w:tcBorders>
              <w:bottom w:val="single" w:sz="4" w:space="0" w:color="DEE6E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4E2A" w:rsidRPr="00454E2A" w:rsidRDefault="00454E2A">
            <w:pPr>
              <w:pStyle w:val="a4"/>
              <w:spacing w:before="0" w:beforeAutospacing="0" w:after="0" w:afterAutospacing="0" w:line="270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3" w:type="pct"/>
            <w:tcBorders>
              <w:bottom w:val="single" w:sz="4" w:space="0" w:color="DEE6E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4E2A" w:rsidRPr="00454E2A" w:rsidRDefault="00454E2A">
            <w:pPr>
              <w:pStyle w:val="a4"/>
              <w:spacing w:before="0" w:beforeAutospacing="0" w:after="0" w:afterAutospacing="0" w:line="270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54E2A" w:rsidRPr="00454E2A" w:rsidTr="001505F5">
        <w:tc>
          <w:tcPr>
            <w:tcW w:w="236" w:type="pct"/>
            <w:tcBorders>
              <w:bottom w:val="single" w:sz="8" w:space="0" w:color="DEE6ED"/>
            </w:tcBorders>
            <w:shd w:val="clear" w:color="auto" w:fill="E36A6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54E2A" w:rsidRPr="00454E2A" w:rsidRDefault="00454E2A">
            <w:pPr>
              <w:pStyle w:val="a4"/>
              <w:spacing w:line="270" w:lineRule="atLeast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535" w:type="pct"/>
            <w:tcBorders>
              <w:bottom w:val="single" w:sz="4" w:space="0" w:color="DEE6E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4E2A" w:rsidRPr="00454E2A" w:rsidRDefault="00454E2A">
            <w:pPr>
              <w:pStyle w:val="a4"/>
              <w:spacing w:before="0" w:beforeAutospacing="0" w:after="0" w:afterAutospacing="0" w:line="270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56" w:type="pct"/>
            <w:tcBorders>
              <w:bottom w:val="single" w:sz="4" w:space="0" w:color="DEE6E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4E2A" w:rsidRPr="00454E2A" w:rsidRDefault="00454E2A">
            <w:pPr>
              <w:pStyle w:val="a4"/>
              <w:spacing w:before="0" w:beforeAutospacing="0" w:after="0" w:afterAutospacing="0" w:line="270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3" w:type="pct"/>
            <w:tcBorders>
              <w:bottom w:val="single" w:sz="4" w:space="0" w:color="DEE6E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4E2A" w:rsidRPr="00454E2A" w:rsidRDefault="00454E2A">
            <w:pPr>
              <w:pStyle w:val="a4"/>
              <w:spacing w:before="0" w:beforeAutospacing="0" w:after="0" w:afterAutospacing="0" w:line="270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54E2A" w:rsidRPr="00454E2A" w:rsidTr="001505F5">
        <w:tc>
          <w:tcPr>
            <w:tcW w:w="236" w:type="pct"/>
            <w:tcBorders>
              <w:bottom w:val="single" w:sz="8" w:space="0" w:color="DEE6ED"/>
            </w:tcBorders>
            <w:shd w:val="clear" w:color="auto" w:fill="E36A6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54E2A" w:rsidRPr="00454E2A" w:rsidRDefault="00454E2A">
            <w:pPr>
              <w:pStyle w:val="a4"/>
              <w:spacing w:line="270" w:lineRule="atLeast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535" w:type="pct"/>
            <w:tcBorders>
              <w:bottom w:val="single" w:sz="4" w:space="0" w:color="DEE6E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4E2A" w:rsidRPr="00454E2A" w:rsidRDefault="00454E2A">
            <w:pPr>
              <w:pStyle w:val="a4"/>
              <w:spacing w:before="0" w:beforeAutospacing="0" w:after="0" w:afterAutospacing="0" w:line="270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56" w:type="pct"/>
            <w:tcBorders>
              <w:bottom w:val="single" w:sz="4" w:space="0" w:color="DEE6E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4E2A" w:rsidRPr="00454E2A" w:rsidRDefault="00454E2A">
            <w:pPr>
              <w:pStyle w:val="a4"/>
              <w:spacing w:before="0" w:beforeAutospacing="0" w:after="0" w:afterAutospacing="0" w:line="270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3" w:type="pct"/>
            <w:tcBorders>
              <w:bottom w:val="single" w:sz="4" w:space="0" w:color="DEE6E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4E2A" w:rsidRPr="00454E2A" w:rsidRDefault="00454E2A">
            <w:pPr>
              <w:pStyle w:val="a4"/>
              <w:spacing w:before="0" w:beforeAutospacing="0" w:after="0" w:afterAutospacing="0" w:line="270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54E2A" w:rsidRPr="00454E2A" w:rsidTr="001505F5">
        <w:tc>
          <w:tcPr>
            <w:tcW w:w="236" w:type="pct"/>
            <w:tcBorders>
              <w:bottom w:val="single" w:sz="8" w:space="0" w:color="DEE6ED"/>
            </w:tcBorders>
            <w:shd w:val="clear" w:color="auto" w:fill="E36A6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454E2A" w:rsidRPr="00454E2A" w:rsidRDefault="00454E2A">
            <w:pPr>
              <w:pStyle w:val="a4"/>
              <w:spacing w:line="270" w:lineRule="atLeast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535" w:type="pct"/>
            <w:tcBorders>
              <w:bottom w:val="single" w:sz="4" w:space="0" w:color="DEE6E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4E2A" w:rsidRPr="00454E2A" w:rsidRDefault="00454E2A">
            <w:pPr>
              <w:pStyle w:val="a4"/>
              <w:spacing w:before="0" w:beforeAutospacing="0" w:after="0" w:afterAutospacing="0" w:line="270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56" w:type="pct"/>
            <w:tcBorders>
              <w:bottom w:val="single" w:sz="4" w:space="0" w:color="DEE6E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4E2A" w:rsidRPr="00454E2A" w:rsidRDefault="00454E2A">
            <w:pPr>
              <w:pStyle w:val="a4"/>
              <w:spacing w:before="0" w:beforeAutospacing="0" w:after="0" w:afterAutospacing="0" w:line="270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3" w:type="pct"/>
            <w:tcBorders>
              <w:bottom w:val="single" w:sz="4" w:space="0" w:color="DEE6ED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54E2A" w:rsidRPr="00454E2A" w:rsidRDefault="00454E2A">
            <w:pPr>
              <w:pStyle w:val="a4"/>
              <w:spacing w:before="0" w:beforeAutospacing="0" w:after="0" w:afterAutospacing="0" w:line="270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A92398" w:rsidRDefault="00A92398" w:rsidP="005E1E8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</w:p>
    <w:p w:rsidR="00BC0430" w:rsidRPr="00BC0430" w:rsidRDefault="001505F5" w:rsidP="00BC0430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……</w:t>
      </w:r>
      <w:r w:rsidR="00BC0430" w:rsidRPr="00BC0430">
        <w:rPr>
          <w:rFonts w:eastAsia="Andale Sans UI"/>
          <w:kern w:val="1"/>
          <w:sz w:val="28"/>
          <w:szCs w:val="28"/>
          <w:lang w:eastAsia="ru-RU"/>
        </w:rPr>
        <w:t xml:space="preserve"> Національним банком на день складання розрахунку цін з урахуванням маси інвестиційної монети, збільшених на </w:t>
      </w:r>
      <w:proofErr w:type="spellStart"/>
      <w:r w:rsidR="00BC0430" w:rsidRPr="00BC0430">
        <w:rPr>
          <w:rFonts w:eastAsia="Andale Sans UI"/>
          <w:kern w:val="1"/>
          <w:sz w:val="28"/>
          <w:szCs w:val="28"/>
          <w:lang w:eastAsia="ru-RU"/>
        </w:rPr>
        <w:t>номіналінвестиційної</w:t>
      </w:r>
      <w:proofErr w:type="spellEnd"/>
      <w:r w:rsidR="00BC0430" w:rsidRPr="00BC0430">
        <w:rPr>
          <w:rFonts w:eastAsia="Andale Sans UI"/>
          <w:kern w:val="1"/>
          <w:sz w:val="28"/>
          <w:szCs w:val="28"/>
          <w:lang w:eastAsia="ru-RU"/>
        </w:rPr>
        <w:t> монети;</w:t>
      </w:r>
    </w:p>
    <w:p w:rsidR="00464ECB" w:rsidRPr="0074684E" w:rsidRDefault="00BC0430" w:rsidP="001505F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BC0430">
        <w:rPr>
          <w:rFonts w:eastAsia="Andale Sans UI"/>
          <w:kern w:val="1"/>
          <w:sz w:val="28"/>
          <w:szCs w:val="28"/>
          <w:lang w:eastAsia="ru-RU"/>
        </w:rPr>
        <w:t> ціни продажу 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</w:t>
      </w:r>
    </w:p>
    <w:p w:rsidR="004E0B95" w:rsidRDefault="00464ECB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74684E">
        <w:rPr>
          <w:rFonts w:eastAsia="Andale Sans UI"/>
          <w:kern w:val="1"/>
          <w:sz w:val="28"/>
          <w:szCs w:val="28"/>
          <w:lang w:eastAsia="ru-RU"/>
        </w:rPr>
        <w:t xml:space="preserve">Отже,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</w:t>
      </w:r>
    </w:p>
    <w:p w:rsidR="004A62F9" w:rsidRPr="009718C5" w:rsidRDefault="00DE3594" w:rsidP="004A62F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b/>
          <w:kern w:val="1"/>
          <w:sz w:val="28"/>
          <w:szCs w:val="28"/>
          <w:lang w:eastAsia="ru-RU"/>
        </w:rPr>
        <w:t>2.2. Нормативно-правове регулювання обігу інвестиційних монет в Україні</w:t>
      </w:r>
      <w:r w:rsidR="004A62F9">
        <w:rPr>
          <w:rFonts w:eastAsia="Andale Sans UI"/>
          <w:b/>
          <w:kern w:val="1"/>
          <w:sz w:val="28"/>
          <w:szCs w:val="28"/>
          <w:lang w:eastAsia="ru-RU"/>
        </w:rPr>
        <w:t xml:space="preserve"> та п</w:t>
      </w:r>
      <w:r w:rsidR="004A62F9" w:rsidRPr="009718C5">
        <w:rPr>
          <w:rFonts w:eastAsia="Andale Sans UI"/>
          <w:b/>
          <w:kern w:val="1"/>
          <w:sz w:val="28"/>
          <w:szCs w:val="28"/>
          <w:lang w:eastAsia="ru-RU"/>
        </w:rPr>
        <w:t>ерспективи розвитку обігу інвестиційних монет в Україні</w:t>
      </w:r>
    </w:p>
    <w:p w:rsidR="004E0B95" w:rsidRDefault="004E0B95" w:rsidP="004E0B9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</w:p>
    <w:p w:rsidR="004E0B95" w:rsidRPr="004E0B95" w:rsidRDefault="004E0B95" w:rsidP="004E0B9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4E0B95">
        <w:rPr>
          <w:rFonts w:eastAsia="Andale Sans UI"/>
          <w:kern w:val="1"/>
          <w:sz w:val="28"/>
          <w:szCs w:val="28"/>
          <w:lang w:eastAsia="ru-RU"/>
        </w:rPr>
        <w:t xml:space="preserve">Стаття 100 Конституції України </w:t>
      </w:r>
      <w:proofErr w:type="spellStart"/>
      <w:r w:rsidRPr="004E0B95">
        <w:rPr>
          <w:rFonts w:eastAsia="Andale Sans UI"/>
          <w:kern w:val="1"/>
          <w:sz w:val="28"/>
          <w:szCs w:val="28"/>
          <w:lang w:eastAsia="ru-RU"/>
        </w:rPr>
        <w:t>взначаєж</w:t>
      </w:r>
      <w:proofErr w:type="spellEnd"/>
      <w:r w:rsidRPr="004E0B95">
        <w:rPr>
          <w:rFonts w:eastAsia="Andale Sans UI"/>
          <w:kern w:val="1"/>
          <w:sz w:val="28"/>
          <w:szCs w:val="28"/>
          <w:lang w:eastAsia="ru-RU"/>
        </w:rPr>
        <w:t xml:space="preserve">, що Рада Національного банку України розробляє основні засади грошово-кредитної політики та здійснює контроль за її проведенням. </w:t>
      </w:r>
      <w:r w:rsidRPr="009718C5">
        <w:rPr>
          <w:rFonts w:eastAsia="Andale Sans UI"/>
          <w:kern w:val="1"/>
          <w:sz w:val="28"/>
          <w:szCs w:val="28"/>
          <w:lang w:eastAsia="ru-RU"/>
        </w:rPr>
        <w:t>[</w:t>
      </w:r>
      <w:r>
        <w:rPr>
          <w:rFonts w:eastAsia="Andale Sans UI"/>
          <w:kern w:val="1"/>
          <w:sz w:val="28"/>
          <w:szCs w:val="28"/>
          <w:lang w:eastAsia="ru-RU"/>
        </w:rPr>
        <w:t>41].</w:t>
      </w:r>
    </w:p>
    <w:p w:rsidR="00242A15" w:rsidRPr="004E0B95" w:rsidRDefault="00242A15" w:rsidP="004E0B9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4E0B95">
        <w:rPr>
          <w:rFonts w:eastAsia="Andale Sans UI"/>
          <w:kern w:val="1"/>
          <w:sz w:val="28"/>
          <w:szCs w:val="28"/>
          <w:lang w:eastAsia="ru-RU"/>
        </w:rPr>
        <w:t xml:space="preserve">Національному  банку  України  належить виключне  право  на </w:t>
      </w:r>
      <w:r w:rsidRPr="004E0B95">
        <w:rPr>
          <w:rFonts w:eastAsia="Andale Sans UI"/>
          <w:kern w:val="1"/>
          <w:sz w:val="28"/>
          <w:szCs w:val="28"/>
          <w:lang w:eastAsia="ru-RU"/>
        </w:rPr>
        <w:br/>
        <w:t xml:space="preserve">виготовлення грошових знаків - банкнот і монет України всіх видів. </w:t>
      </w:r>
      <w:r w:rsidR="004E0B95" w:rsidRPr="009718C5">
        <w:rPr>
          <w:rFonts w:eastAsia="Andale Sans UI"/>
          <w:kern w:val="1"/>
          <w:sz w:val="28"/>
          <w:szCs w:val="28"/>
          <w:lang w:eastAsia="ru-RU"/>
        </w:rPr>
        <w:t>[</w:t>
      </w:r>
      <w:r w:rsidR="004E0B95">
        <w:rPr>
          <w:rFonts w:eastAsia="Andale Sans UI"/>
          <w:kern w:val="1"/>
          <w:sz w:val="28"/>
          <w:szCs w:val="28"/>
          <w:lang w:eastAsia="ru-RU"/>
        </w:rPr>
        <w:t>4</w:t>
      </w:r>
      <w:r w:rsidR="004E0B95" w:rsidRPr="004E0B95">
        <w:rPr>
          <w:rFonts w:eastAsia="Andale Sans UI"/>
          <w:kern w:val="1"/>
          <w:sz w:val="28"/>
          <w:szCs w:val="28"/>
          <w:lang w:eastAsia="ru-RU"/>
        </w:rPr>
        <w:t>2</w:t>
      </w:r>
      <w:r w:rsidR="004E0B95">
        <w:rPr>
          <w:rFonts w:eastAsia="Andale Sans UI"/>
          <w:kern w:val="1"/>
          <w:sz w:val="28"/>
          <w:szCs w:val="28"/>
          <w:lang w:eastAsia="ru-RU"/>
        </w:rPr>
        <w:t>].</w:t>
      </w:r>
    </w:p>
    <w:p w:rsidR="00031B78" w:rsidRPr="00312D93" w:rsidRDefault="004E0B95" w:rsidP="001505F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4E0B95">
        <w:rPr>
          <w:rFonts w:eastAsia="Andale Sans UI"/>
          <w:kern w:val="1"/>
          <w:sz w:val="28"/>
          <w:szCs w:val="28"/>
          <w:lang w:eastAsia="ru-RU"/>
        </w:rPr>
        <w:t>Інструкція про організацію виготовлення, випуску в обіг і реалізації пам’ятних та інвестиційних монет України, сувенірної продукції розроблена згідно із </w:t>
      </w:r>
      <w:hyperlink r:id="rId15" w:tgtFrame="_blank" w:history="1">
        <w:r w:rsidRPr="004E0B95">
          <w:rPr>
            <w:rFonts w:eastAsia="Andale Sans UI"/>
            <w:kern w:val="1"/>
            <w:sz w:val="28"/>
            <w:szCs w:val="28"/>
            <w:lang w:eastAsia="ru-RU"/>
          </w:rPr>
          <w:t>Законом України “Про Національний банк України”</w:t>
        </w:r>
      </w:hyperlink>
      <w:r w:rsidRPr="004E0B95">
        <w:rPr>
          <w:rFonts w:eastAsia="Andale Sans UI"/>
          <w:kern w:val="1"/>
          <w:sz w:val="28"/>
          <w:szCs w:val="28"/>
          <w:lang w:eastAsia="ru-RU"/>
        </w:rPr>
        <w:t> </w:t>
      </w:r>
      <w:r w:rsidRPr="009718C5">
        <w:rPr>
          <w:rFonts w:eastAsia="Andale Sans UI"/>
          <w:kern w:val="1"/>
          <w:sz w:val="28"/>
          <w:szCs w:val="28"/>
          <w:lang w:eastAsia="ru-RU"/>
        </w:rPr>
        <w:t>[</w:t>
      </w:r>
      <w:r>
        <w:rPr>
          <w:rFonts w:eastAsia="Andale Sans UI"/>
          <w:kern w:val="1"/>
          <w:sz w:val="28"/>
          <w:szCs w:val="28"/>
          <w:lang w:eastAsia="ru-RU"/>
        </w:rPr>
        <w:t xml:space="preserve">43] </w:t>
      </w:r>
      <w:proofErr w:type="spellStart"/>
      <w:r w:rsidRPr="004E0B95">
        <w:rPr>
          <w:rFonts w:eastAsia="Andale Sans UI"/>
          <w:kern w:val="1"/>
          <w:sz w:val="28"/>
          <w:szCs w:val="28"/>
          <w:lang w:eastAsia="ru-RU"/>
        </w:rPr>
        <w:t>та</w:t>
      </w:r>
      <w:hyperlink r:id="rId16" w:tgtFrame="_blank" w:history="1">
        <w:r w:rsidRPr="004E0B95">
          <w:rPr>
            <w:rFonts w:eastAsia="Andale Sans UI"/>
            <w:kern w:val="1"/>
            <w:sz w:val="28"/>
            <w:szCs w:val="28"/>
            <w:lang w:eastAsia="ru-RU"/>
          </w:rPr>
          <w:t>Указом</w:t>
        </w:r>
        <w:proofErr w:type="spellEnd"/>
        <w:r w:rsidRPr="004E0B95">
          <w:rPr>
            <w:rFonts w:eastAsia="Andale Sans UI"/>
            <w:kern w:val="1"/>
            <w:sz w:val="28"/>
            <w:szCs w:val="28"/>
            <w:lang w:eastAsia="ru-RU"/>
          </w:rPr>
          <w:t xml:space="preserve"> Президента України від 28.09.2004 № 1142</w:t>
        </w:r>
      </w:hyperlink>
      <w:r w:rsidRPr="004E0B95">
        <w:rPr>
          <w:rFonts w:eastAsia="Andale Sans UI"/>
          <w:kern w:val="1"/>
          <w:sz w:val="28"/>
          <w:szCs w:val="28"/>
          <w:lang w:eastAsia="ru-RU"/>
        </w:rPr>
        <w:t xml:space="preserve"> “Про виключне право Національного банку України”, відповідно до яких Національному банку України (далі - Національний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…..</w:t>
      </w:r>
    </w:p>
    <w:p w:rsidR="00312D93" w:rsidRPr="00036771" w:rsidRDefault="0098314E" w:rsidP="001505F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312D93">
        <w:rPr>
          <w:rFonts w:eastAsia="Andale Sans UI"/>
          <w:kern w:val="1"/>
          <w:sz w:val="28"/>
          <w:szCs w:val="28"/>
          <w:lang w:eastAsia="ru-RU"/>
        </w:rPr>
        <w:t xml:space="preserve">Видача пам’ятних та інвестиційних монет, які мають гривневий номінал, сувенірної продукції, яка містить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</w:t>
      </w:r>
      <w:r w:rsidR="00312D93" w:rsidRPr="00036771">
        <w:rPr>
          <w:rFonts w:eastAsia="Andale Sans UI"/>
          <w:kern w:val="1"/>
          <w:sz w:val="28"/>
          <w:szCs w:val="28"/>
          <w:lang w:eastAsia="ru-RU"/>
        </w:rPr>
        <w:t xml:space="preserve"> монет, вони не містять в собі іншої вартості окрім золота, що входить до їх складу. Тому їх можна легко продати в разі підвищення цін на золото.</w:t>
      </w:r>
      <w:r w:rsidR="00036771" w:rsidRPr="0003677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="00036771" w:rsidRPr="009718C5">
        <w:rPr>
          <w:rFonts w:eastAsia="Andale Sans UI"/>
          <w:kern w:val="1"/>
          <w:sz w:val="28"/>
          <w:szCs w:val="28"/>
          <w:lang w:eastAsia="ru-RU"/>
        </w:rPr>
        <w:t>[</w:t>
      </w:r>
      <w:r w:rsidR="00036771">
        <w:rPr>
          <w:rFonts w:eastAsia="Andale Sans UI"/>
          <w:kern w:val="1"/>
          <w:sz w:val="28"/>
          <w:szCs w:val="28"/>
          <w:lang w:eastAsia="ru-RU"/>
        </w:rPr>
        <w:t>50].</w:t>
      </w:r>
    </w:p>
    <w:p w:rsidR="00036771" w:rsidRDefault="00312D93" w:rsidP="001505F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  <w:r w:rsidRPr="00036771">
        <w:rPr>
          <w:rFonts w:eastAsia="Andale Sans UI"/>
          <w:kern w:val="1"/>
          <w:sz w:val="28"/>
          <w:szCs w:val="28"/>
          <w:lang w:eastAsia="ru-RU"/>
        </w:rPr>
        <w:t xml:space="preserve">Отже,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</w:t>
      </w:r>
    </w:p>
    <w:p w:rsidR="00036771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036771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036771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036771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036771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036771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036771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036771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036771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036771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036771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036771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036771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036771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036771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036771" w:rsidRPr="00A34863" w:rsidRDefault="00036771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val="ru-RU" w:eastAsia="ru-RU"/>
        </w:rPr>
      </w:pPr>
    </w:p>
    <w:p w:rsidR="00DE3594" w:rsidRDefault="00DE3594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9718C5">
        <w:rPr>
          <w:rFonts w:eastAsia="Andale Sans UI"/>
          <w:b/>
          <w:kern w:val="1"/>
          <w:sz w:val="28"/>
          <w:szCs w:val="28"/>
          <w:lang w:eastAsia="ru-RU"/>
        </w:rPr>
        <w:t>ВИСНОВКИ</w:t>
      </w:r>
    </w:p>
    <w:p w:rsidR="00F73B5D" w:rsidRDefault="00F73B5D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99120E" w:rsidRPr="009718C5" w:rsidRDefault="0099120E" w:rsidP="0099120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>Усі дорогоцінні метали відіграють важливу роль у сучасному економічному житті світу.</w:t>
      </w:r>
    </w:p>
    <w:p w:rsidR="0099120E" w:rsidRPr="008E0461" w:rsidRDefault="0099120E" w:rsidP="0099120E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>Унікальні фізичні й хімічні властивості дорогоцінних металів сприяли їхньому широкому використанню у різних сферах суспільного життя.</w:t>
      </w:r>
    </w:p>
    <w:p w:rsidR="0099120E" w:rsidRDefault="0099120E" w:rsidP="001505F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9718C5">
        <w:rPr>
          <w:rFonts w:eastAsia="Andale Sans UI"/>
          <w:kern w:val="1"/>
          <w:sz w:val="28"/>
          <w:szCs w:val="28"/>
          <w:lang w:eastAsia="ru-RU"/>
        </w:rPr>
        <w:t xml:space="preserve">Світові ціни на золото </w:t>
      </w:r>
      <w:r w:rsidR="001505F5">
        <w:rPr>
          <w:rFonts w:eastAsia="Andale Sans UI"/>
          <w:kern w:val="1"/>
          <w:sz w:val="28"/>
          <w:szCs w:val="28"/>
          <w:lang w:eastAsia="ru-RU"/>
        </w:rPr>
        <w:t>….</w:t>
      </w:r>
      <w:bookmarkStart w:id="0" w:name="_GoBack"/>
      <w:bookmarkEnd w:id="0"/>
    </w:p>
    <w:p w:rsidR="0099120E" w:rsidRDefault="0099120E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DE3594" w:rsidRDefault="00DE3594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  <w:r w:rsidRPr="009718C5">
        <w:rPr>
          <w:rFonts w:eastAsia="Andale Sans UI"/>
          <w:b/>
          <w:kern w:val="1"/>
          <w:sz w:val="28"/>
          <w:szCs w:val="28"/>
          <w:lang w:eastAsia="ru-RU"/>
        </w:rPr>
        <w:t>СПИСОК ВИКОРИСТАНИХ ДЖЕРЕЛ</w:t>
      </w:r>
    </w:p>
    <w:p w:rsidR="00CD4267" w:rsidRDefault="00CD4267" w:rsidP="009718C5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="Andale Sans UI"/>
          <w:b/>
          <w:kern w:val="1"/>
          <w:sz w:val="28"/>
          <w:szCs w:val="28"/>
          <w:lang w:eastAsia="ru-RU"/>
        </w:rPr>
      </w:pP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1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Batten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J.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The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macroeconomic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determinants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of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volatility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in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precious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metals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markets</w:t>
      </w:r>
      <w:proofErr w:type="spellEnd"/>
      <w:r w:rsidR="00EB7FB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Re</w:t>
      </w:r>
      <w:r w:rsidR="00EB7FB1">
        <w:rPr>
          <w:rFonts w:eastAsia="Andale Sans UI"/>
          <w:kern w:val="1"/>
          <w:sz w:val="28"/>
          <w:szCs w:val="28"/>
          <w:lang w:eastAsia="ru-RU"/>
        </w:rPr>
        <w:t>sources</w:t>
      </w:r>
      <w:proofErr w:type="spellEnd"/>
      <w:r w:rsidR="00EB7FB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="00EB7FB1">
        <w:rPr>
          <w:rFonts w:eastAsia="Andale Sans UI"/>
          <w:kern w:val="1"/>
          <w:sz w:val="28"/>
          <w:szCs w:val="28"/>
          <w:lang w:eastAsia="ru-RU"/>
        </w:rPr>
        <w:t>Policy</w:t>
      </w:r>
      <w:proofErr w:type="spellEnd"/>
      <w:r w:rsidR="00EB7FB1">
        <w:rPr>
          <w:rFonts w:eastAsia="Andale Sans UI"/>
          <w:kern w:val="1"/>
          <w:sz w:val="28"/>
          <w:szCs w:val="28"/>
          <w:lang w:eastAsia="ru-RU"/>
        </w:rPr>
        <w:t xml:space="preserve">. 2010. №35.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P. 65–71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2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Zoellick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seeks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gold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standard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debate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="00EB7FB1"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 w:rsidR="00EB7FB1"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http://www.ft. com/intl/cms/s/0/eda8f512-eaae-11df-b28d-00144feab49a.html#axzz1pZx2tAJD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lastRenderedPageBreak/>
        <w:t>3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Harmston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S.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Gold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as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a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store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of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value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="00EB7FB1"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 w:rsidR="00EB7FB1"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http://www.spdrgoldshares.com/media/GLD/file/research_study_22.pdf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4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Baur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D.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Is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Gold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a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Safe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Haven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?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International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Evidence</w:t>
      </w:r>
      <w:proofErr w:type="spellEnd"/>
      <w:r w:rsidR="00EB7FB1" w:rsidRPr="00EB7FB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="00EB7FB1"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 w:rsidR="00EB7FB1"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http://ssrn.com/abstract=1516838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5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Baur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D. G.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Is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Gold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a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Hedgeor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a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Safe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Haven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?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An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Analysis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of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Stocks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,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Bonds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and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Gold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="00EB7FB1"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 w:rsidR="00EB7FB1"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http://ssrn.com/abstract=952289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or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http://dx.doi.org/10.2139/ssrn.952289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6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McCown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J. R.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Is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Gold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a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Zero-Beta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Asset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?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Analysis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of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the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Investment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Potential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of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Precious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Metals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="00EB7FB1"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 w:rsidR="00EB7FB1"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http://ssrn.com/abstract=920496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or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http://dx.doi.org/10.2139/ssrn.920496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7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“Про державне регулювання видобутку, виробництва і використання дорогоцінних металів і дорогоцінного каміння та контроль за операціями з ними” : Закон України від 18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листоп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>. 1997 р. № 637/97–ВР</w:t>
      </w:r>
      <w:r w:rsidR="00EB7FB1">
        <w:rPr>
          <w:rFonts w:eastAsia="Andale Sans UI"/>
          <w:kern w:val="1"/>
          <w:sz w:val="28"/>
          <w:szCs w:val="28"/>
          <w:lang w:eastAsia="ru-RU"/>
        </w:rPr>
        <w:t>.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Відомості Верховної Ради України. 1998. № 9. 34 с.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8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Металлургия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благородних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металлов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: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учебник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/ И. Н.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Мас</w:t>
      </w:r>
      <w:r w:rsidR="00EB7FB1">
        <w:rPr>
          <w:rFonts w:eastAsia="Andale Sans UI"/>
          <w:kern w:val="1"/>
          <w:sz w:val="28"/>
          <w:szCs w:val="28"/>
          <w:lang w:eastAsia="ru-RU"/>
        </w:rPr>
        <w:t>лениц</w:t>
      </w:r>
      <w:r w:rsidRPr="008E0461">
        <w:rPr>
          <w:rFonts w:eastAsia="Andale Sans UI"/>
          <w:kern w:val="1"/>
          <w:sz w:val="28"/>
          <w:szCs w:val="28"/>
          <w:lang w:eastAsia="ru-RU"/>
        </w:rPr>
        <w:t>кий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, Л. В.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Чугаев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, В. Ф.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Борбат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и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др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;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под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ред. Л. В.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Чугаева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2-е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изд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.,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перераб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и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доп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– М. :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Металлургия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, 1987. 432 с.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9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Turnbull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P.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The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treatment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of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non-monetary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gold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in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the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macro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economic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accounts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="00EB7FB1"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 w:rsidR="00EB7FB1"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http://www.imf.org/external/np/sta/bop/pdf/ bopteg27a-bp.pdf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10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Электронная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энциклопедия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="00EB7FB1"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 w:rsidR="00EB7FB1"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http://www.eleven.co.il/article/14795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11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Bordo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M.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The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Gold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Standard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and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Related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Regimes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: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Collected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Essays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Cambridge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: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Cambridge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University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Press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, 1999. 540 p.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12</w:t>
      </w:r>
      <w:r w:rsidRPr="008E0461">
        <w:rPr>
          <w:rFonts w:eastAsia="Andale Sans UI"/>
          <w:kern w:val="1"/>
          <w:sz w:val="28"/>
          <w:szCs w:val="28"/>
          <w:lang w:eastAsia="ru-RU"/>
        </w:rPr>
        <w:t>. Економічний енциклопедичний словник : у 2 т. Т</w:t>
      </w:r>
      <w:r w:rsidR="00EB7FB1">
        <w:rPr>
          <w:rFonts w:eastAsia="Andale Sans UI"/>
          <w:kern w:val="1"/>
          <w:sz w:val="28"/>
          <w:szCs w:val="28"/>
          <w:lang w:eastAsia="ru-RU"/>
        </w:rPr>
        <w:t xml:space="preserve">. 2 / за ред. С. В. </w:t>
      </w:r>
      <w:proofErr w:type="spellStart"/>
      <w:r w:rsidR="00EB7FB1">
        <w:rPr>
          <w:rFonts w:eastAsia="Andale Sans UI"/>
          <w:kern w:val="1"/>
          <w:sz w:val="28"/>
          <w:szCs w:val="28"/>
          <w:lang w:eastAsia="ru-RU"/>
        </w:rPr>
        <w:t>Мочерного</w:t>
      </w:r>
      <w:proofErr w:type="spellEnd"/>
      <w:r w:rsidR="00EB7FB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Львів :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Свiт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, 2006. 616 с.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13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Економічний енциклопедичний словник : у 2 т. Т. 1 / за ред. С. В.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Мочерного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Львів :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Свiт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, 2006. 568 с.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14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McNay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D.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Industry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&amp;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Trade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Summary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Precious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Metals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="00EB7FB1"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 w:rsidR="00EB7FB1"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>https://books.google.pl/books?id=I91PMykmtk0C&amp;printsec=frontcover&amp;dq=Deborah+Industry+%26+Trade+Summary+Precious+Metals&amp;hl=ru&amp;sa=X&amp;ved=0ahU</w:t>
      </w:r>
      <w:r w:rsidRPr="008E0461">
        <w:rPr>
          <w:rFonts w:eastAsia="Andale Sans UI"/>
          <w:kern w:val="1"/>
          <w:sz w:val="28"/>
          <w:szCs w:val="28"/>
          <w:lang w:eastAsia="ru-RU"/>
        </w:rPr>
        <w:lastRenderedPageBreak/>
        <w:t xml:space="preserve">KEwjSrerQ3MfLAhWDNJoKHUWdCa0Q6AEIKTAA#v=onepage&amp;q=Deborah%20Industry%20%26%20Trade%20Summary%20Precious%20Metals&amp;f=false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15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London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Gold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Fixing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http://www.goldfixing.com/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16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Барсегян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А. Г.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Состояние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и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перспективы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современного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мирового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рынка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золота</w:t>
      </w:r>
      <w:r>
        <w:rPr>
          <w:rFonts w:eastAsia="Andale Sans UI"/>
          <w:kern w:val="1"/>
          <w:sz w:val="28"/>
          <w:szCs w:val="28"/>
          <w:lang w:eastAsia="ru-RU"/>
        </w:rPr>
        <w:t xml:space="preserve">.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Культура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народов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Причерноморья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r>
        <w:rPr>
          <w:rFonts w:eastAsia="Andale Sans UI"/>
          <w:kern w:val="1"/>
          <w:sz w:val="28"/>
          <w:szCs w:val="28"/>
          <w:lang w:eastAsia="ru-RU"/>
        </w:rPr>
        <w:t xml:space="preserve">2011.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№ 201. С. 51–58.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17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Селезнев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А.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Красная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книга товарних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рынков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России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: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рынок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драгоценных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металлов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http://www.rau.su/observer/ N01_98/1_15.HTM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18.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Reginald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W.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Ogden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The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Future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of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Gold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http://www.kitco.com/ind/Ogden/feb172003.html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19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Mankiw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N. G.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Macroeconomics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/ N.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Gregory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Mankiw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7th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еd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Worth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Publishers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, 2009. 641 p.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20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Медведкина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Е. А.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Мировой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рынок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золота в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условиях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развития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глобальной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финансовой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системы</w:t>
      </w:r>
      <w:proofErr w:type="spellEnd"/>
      <w:r>
        <w:rPr>
          <w:rFonts w:eastAsia="Andale Sans UI"/>
          <w:kern w:val="1"/>
          <w:sz w:val="28"/>
          <w:szCs w:val="28"/>
          <w:lang w:eastAsia="ru-RU"/>
        </w:rPr>
        <w:t xml:space="preserve">.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Економічний простір. </w:t>
      </w:r>
      <w:r>
        <w:rPr>
          <w:rFonts w:eastAsia="Andale Sans UI"/>
          <w:kern w:val="1"/>
          <w:sz w:val="28"/>
          <w:szCs w:val="28"/>
          <w:lang w:eastAsia="ru-RU"/>
        </w:rPr>
        <w:t xml:space="preserve">2008.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№12. С. 5–15.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21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London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Silver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Fixing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http://www.silverfixing.com/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22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London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platinum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and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palladium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market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Members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http://www.lppm.com/lists.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aspx?type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>=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members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>23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“Про затвердження Положення про здійснення операцій з банківськими металами та внесення змін до деяких нормативно-правових актів Національного банку України” : Постанова Національного Банку України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вiд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06.08.2003 р. № 325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http://zakon4.rada.gov.ua/laws/show/z0749-03 </w:t>
      </w:r>
    </w:p>
    <w:p w:rsidR="00CD4267" w:rsidRPr="009718C5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t>24. Коренюк П.І. П</w:t>
      </w:r>
      <w:r>
        <w:rPr>
          <w:rFonts w:eastAsia="Andale Sans UI"/>
          <w:kern w:val="1"/>
          <w:sz w:val="28"/>
          <w:szCs w:val="28"/>
          <w:lang w:eastAsia="ru-RU"/>
        </w:rPr>
        <w:t xml:space="preserve">роблеми та особливості формування ринку дорогоцінних металів в Україні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hyperlink r:id="rId17" w:history="1">
        <w:r w:rsidRPr="008E0461">
          <w:rPr>
            <w:rFonts w:eastAsia="Andale Sans UI"/>
            <w:kern w:val="1"/>
            <w:sz w:val="28"/>
            <w:szCs w:val="28"/>
            <w:lang w:eastAsia="ru-RU"/>
          </w:rPr>
          <w:t>http://global-national.in.ua/archive/21-2018/33.pdf</w:t>
        </w:r>
      </w:hyperlink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25.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Банковское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право: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учеб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/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отв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ред. Д. Г.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Алексеева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, С. В.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Пыхтин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М.: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Высшее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образование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>, 2008. 829 с</w:t>
      </w:r>
    </w:p>
    <w:p w:rsid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26.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П</w:t>
      </w:r>
      <w:r>
        <w:rPr>
          <w:rFonts w:eastAsia="Andale Sans UI"/>
          <w:kern w:val="1"/>
          <w:sz w:val="28"/>
          <w:szCs w:val="28"/>
          <w:lang w:eastAsia="ru-RU"/>
        </w:rPr>
        <w:t>ожидаєва</w:t>
      </w:r>
      <w:proofErr w:type="spellEnd"/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8E0461">
        <w:rPr>
          <w:rFonts w:eastAsia="Andale Sans UI"/>
          <w:kern w:val="1"/>
          <w:sz w:val="28"/>
          <w:szCs w:val="28"/>
          <w:lang w:eastAsia="ru-RU"/>
        </w:rPr>
        <w:t>М. А. Особливості правового режиму металевих рахунків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>/bmju_2010_9_9.pdf</w:t>
      </w:r>
    </w:p>
    <w:p w:rsid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lastRenderedPageBreak/>
        <w:t xml:space="preserve">27.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В.В.Сопко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,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Т.В.Ружанська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>. Особливості бухгалтерського обліку операцій з банківськими металами</w:t>
      </w:r>
      <w:r>
        <w:rPr>
          <w:rFonts w:eastAsia="Andale Sans UI"/>
          <w:kern w:val="1"/>
          <w:sz w:val="28"/>
          <w:szCs w:val="28"/>
          <w:lang w:eastAsia="ru-RU"/>
        </w:rPr>
        <w:t>.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Збірник наукових праць Національного університету державної податкової служби України</w:t>
      </w:r>
      <w:r>
        <w:rPr>
          <w:rFonts w:eastAsia="Andale Sans UI"/>
          <w:kern w:val="1"/>
          <w:sz w:val="28"/>
          <w:szCs w:val="28"/>
          <w:lang w:eastAsia="ru-RU"/>
        </w:rPr>
        <w:t>.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№ 2</w:t>
      </w:r>
      <w:r>
        <w:rPr>
          <w:rFonts w:eastAsia="Andale Sans UI"/>
          <w:kern w:val="1"/>
          <w:sz w:val="28"/>
          <w:szCs w:val="28"/>
          <w:lang w:eastAsia="ru-RU"/>
        </w:rPr>
        <w:t>.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2012</w:t>
      </w:r>
      <w:r>
        <w:rPr>
          <w:rFonts w:eastAsia="Andale Sans UI"/>
          <w:kern w:val="1"/>
          <w:sz w:val="28"/>
          <w:szCs w:val="28"/>
          <w:lang w:eastAsia="ru-RU"/>
        </w:rPr>
        <w:t>. С.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248-253</w:t>
      </w:r>
    </w:p>
    <w:p w:rsid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t>28. Чиж</w:t>
      </w:r>
      <w:r w:rsidRPr="00CD4267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8E0461">
        <w:rPr>
          <w:rFonts w:eastAsia="Andale Sans UI"/>
          <w:kern w:val="1"/>
          <w:sz w:val="28"/>
          <w:szCs w:val="28"/>
          <w:lang w:eastAsia="ru-RU"/>
        </w:rPr>
        <w:t>Л.М.</w:t>
      </w:r>
      <w:r>
        <w:rPr>
          <w:rFonts w:eastAsia="Andale Sans UI"/>
          <w:kern w:val="1"/>
          <w:sz w:val="28"/>
          <w:szCs w:val="28"/>
          <w:lang w:eastAsia="ru-RU"/>
        </w:rPr>
        <w:t xml:space="preserve"> Ринок золотих монет: особливості функціонування .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Науковий вісник НЛТУ України. 2011. –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Вип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>. 21.17</w:t>
      </w:r>
      <w:r>
        <w:rPr>
          <w:rFonts w:eastAsia="Andale Sans UI"/>
          <w:kern w:val="1"/>
          <w:sz w:val="28"/>
          <w:szCs w:val="28"/>
          <w:lang w:eastAsia="ru-RU"/>
        </w:rPr>
        <w:t>.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С.294-299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29. Особливості та поняття інвестиційних монет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>https://fintramplin.com/investytsijni-monety/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30. Борисов С.М. Золото в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экономике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современного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капитализма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: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монография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/ </w:t>
      </w:r>
      <w:r>
        <w:rPr>
          <w:rFonts w:eastAsia="Andale Sans UI"/>
          <w:kern w:val="1"/>
          <w:sz w:val="28"/>
          <w:szCs w:val="28"/>
          <w:lang w:eastAsia="ru-RU"/>
        </w:rPr>
        <w:t>С.М. Бо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рисов.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Изд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>. 2-ое, [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перераб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 и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доп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.]. М. :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Изд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>-во "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Финансы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и статистика", 1984. 478 с.</w:t>
      </w:r>
    </w:p>
    <w:p w:rsid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31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Bullion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Coins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>http://financial-dictionary.thefreedictionary.com/Bullion+coin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t>32. Пам'ятка для роботи з інвестиційними монетами України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>https://bank.gov.ua/control/uk/publish/article?art_id=109919&amp;cat_id=112713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t>33. Щодо Пам'ятки для роботи з інвестиційними монетами: Лист НБУ від 28.03.2012  № 67-112/275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>https://zakon.rada.gov.ua/laws/show/v0275500-12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34.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Investment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gold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coins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(VAT </w:t>
      </w:r>
      <w:proofErr w:type="spellStart"/>
      <w:r w:rsidRPr="008E0461">
        <w:rPr>
          <w:rFonts w:eastAsia="Andale Sans UI"/>
          <w:kern w:val="1"/>
          <w:sz w:val="28"/>
          <w:szCs w:val="28"/>
          <w:lang w:eastAsia="ru-RU"/>
        </w:rPr>
        <w:t>Notice</w:t>
      </w:r>
      <w:proofErr w:type="spellEnd"/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701/21A)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>https://www.gov.uk/guidance/investment-gold-coins-and-vat-notice-70121a</w:t>
      </w:r>
    </w:p>
    <w:p w:rsidR="00CD4267" w:rsidRPr="009718C5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774A78">
        <w:rPr>
          <w:rFonts w:eastAsia="Andale Sans UI"/>
          <w:kern w:val="1"/>
          <w:sz w:val="28"/>
          <w:szCs w:val="28"/>
          <w:lang w:eastAsia="ru-RU"/>
        </w:rPr>
        <w:t xml:space="preserve">35. </w:t>
      </w:r>
      <w:proofErr w:type="spellStart"/>
      <w:r w:rsidRPr="00774A78">
        <w:rPr>
          <w:rFonts w:eastAsia="Andale Sans UI"/>
          <w:kern w:val="1"/>
          <w:sz w:val="28"/>
          <w:szCs w:val="28"/>
          <w:lang w:eastAsia="ru-RU"/>
        </w:rPr>
        <w:t>Инвестиционные</w:t>
      </w:r>
      <w:proofErr w:type="spellEnd"/>
      <w:r w:rsidRPr="00774A78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774A78">
        <w:rPr>
          <w:rFonts w:eastAsia="Andale Sans UI"/>
          <w:kern w:val="1"/>
          <w:sz w:val="28"/>
          <w:szCs w:val="28"/>
          <w:lang w:eastAsia="ru-RU"/>
        </w:rPr>
        <w:t>монеты</w:t>
      </w:r>
      <w:proofErr w:type="spellEnd"/>
      <w:r w:rsidRPr="00774A78">
        <w:rPr>
          <w:rFonts w:eastAsia="Andale Sans UI"/>
          <w:kern w:val="1"/>
          <w:sz w:val="28"/>
          <w:szCs w:val="28"/>
          <w:lang w:eastAsia="ru-RU"/>
        </w:rPr>
        <w:t xml:space="preserve">: </w:t>
      </w:r>
      <w:proofErr w:type="spellStart"/>
      <w:r w:rsidRPr="00774A78">
        <w:rPr>
          <w:rFonts w:eastAsia="Andale Sans UI"/>
          <w:kern w:val="1"/>
          <w:sz w:val="28"/>
          <w:szCs w:val="28"/>
          <w:lang w:eastAsia="ru-RU"/>
        </w:rPr>
        <w:t>эстетическое</w:t>
      </w:r>
      <w:proofErr w:type="spellEnd"/>
      <w:r w:rsidRPr="00774A78">
        <w:rPr>
          <w:rFonts w:eastAsia="Andale Sans UI"/>
          <w:kern w:val="1"/>
          <w:sz w:val="28"/>
          <w:szCs w:val="28"/>
          <w:lang w:eastAsia="ru-RU"/>
        </w:rPr>
        <w:t xml:space="preserve"> </w:t>
      </w:r>
      <w:proofErr w:type="spellStart"/>
      <w:r w:rsidRPr="00774A78">
        <w:rPr>
          <w:rFonts w:eastAsia="Andale Sans UI"/>
          <w:kern w:val="1"/>
          <w:sz w:val="28"/>
          <w:szCs w:val="28"/>
          <w:lang w:eastAsia="ru-RU"/>
        </w:rPr>
        <w:t>наслаждение</w:t>
      </w:r>
      <w:proofErr w:type="spellEnd"/>
      <w:r w:rsidRPr="00774A78">
        <w:rPr>
          <w:rFonts w:eastAsia="Andale Sans UI"/>
          <w:kern w:val="1"/>
          <w:sz w:val="28"/>
          <w:szCs w:val="28"/>
          <w:lang w:eastAsia="ru-RU"/>
        </w:rPr>
        <w:t xml:space="preserve"> депозитом URL:</w:t>
      </w:r>
      <w:r w:rsidR="00774A78" w:rsidRPr="00774A78">
        <w:rPr>
          <w:rFonts w:eastAsia="Andale Sans UI"/>
          <w:kern w:val="1"/>
          <w:sz w:val="28"/>
          <w:szCs w:val="28"/>
          <w:lang w:eastAsia="ru-RU"/>
        </w:rPr>
        <w:t xml:space="preserve"> http://www.banksinfo.kiev.ua/files/Banker32/B32_78-79.pdf</w:t>
      </w:r>
    </w:p>
    <w:p w:rsid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t>36. Інвестиції в монети</w:t>
      </w:r>
      <w:r>
        <w:rPr>
          <w:rFonts w:eastAsia="Andale Sans UI"/>
          <w:kern w:val="1"/>
          <w:sz w:val="28"/>
          <w:szCs w:val="28"/>
          <w:lang w:eastAsia="ru-RU"/>
        </w:rPr>
        <w:t xml:space="preserve">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https://biznesua.com.ua/investitsiyi-v-moneti/</w:t>
      </w:r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t>37. Інвестиційні монети НБУ</w:t>
      </w:r>
      <w:r w:rsidRPr="00CD4267">
        <w:rPr>
          <w:rFonts w:eastAsia="Andale Sans UI"/>
          <w:kern w:val="1"/>
          <w:sz w:val="28"/>
          <w:szCs w:val="28"/>
          <w:lang w:eastAsia="ru-RU"/>
        </w:rPr>
        <w:t xml:space="preserve"> 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 </w:t>
      </w:r>
      <w:hyperlink r:id="rId18" w:history="1">
        <w:r w:rsidRPr="008E0461">
          <w:rPr>
            <w:rFonts w:eastAsia="Andale Sans UI"/>
            <w:kern w:val="1"/>
            <w:sz w:val="28"/>
            <w:szCs w:val="28"/>
            <w:lang w:eastAsia="ru-RU"/>
          </w:rPr>
          <w:t>http://www.ukrgasbank.com/private/coins/nbu/</w:t>
        </w:r>
      </w:hyperlink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38.  Закупівельні ціни та ціни продажу інвестиційних монет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hyperlink r:id="rId19" w:history="1">
        <w:r w:rsidRPr="008E0461">
          <w:rPr>
            <w:rFonts w:eastAsia="Andale Sans UI"/>
            <w:kern w:val="1"/>
            <w:sz w:val="28"/>
            <w:szCs w:val="28"/>
            <w:lang w:eastAsia="ru-RU"/>
          </w:rPr>
          <w:t>https://bank.gov.ua/control/uk/bullioncoin/registry/today;jsessionid=F913A7830DB69E7AE08F43C15C4971B5</w:t>
        </w:r>
      </w:hyperlink>
    </w:p>
    <w:p w:rsidR="00CD4267" w:rsidRPr="008E0461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t xml:space="preserve">39. Порядок ціноутворення на інвестиційні монети України </w:t>
      </w:r>
      <w:r>
        <w:rPr>
          <w:rFonts w:eastAsia="Andale Sans UI"/>
          <w:kern w:val="1"/>
          <w:sz w:val="28"/>
          <w:szCs w:val="28"/>
          <w:lang w:val="en-US"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>https://bank.gov.ua/control/uk/publish/article?art_id=112714&amp;cat_id=112713</w:t>
      </w:r>
    </w:p>
    <w:p w:rsidR="00CD4267" w:rsidRPr="00A92398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8E0461">
        <w:rPr>
          <w:rFonts w:eastAsia="Andale Sans UI"/>
          <w:kern w:val="1"/>
          <w:sz w:val="28"/>
          <w:szCs w:val="28"/>
          <w:lang w:eastAsia="ru-RU"/>
        </w:rPr>
        <w:lastRenderedPageBreak/>
        <w:t xml:space="preserve">40. Інвестиційні монети – нюанси і рентабельність вкладень, оцінка ризиків і окупності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8E0461">
        <w:rPr>
          <w:rFonts w:eastAsia="Andale Sans UI"/>
          <w:kern w:val="1"/>
          <w:sz w:val="28"/>
          <w:szCs w:val="28"/>
          <w:lang w:eastAsia="ru-RU"/>
        </w:rPr>
        <w:t>https://fintramplin.com/investytsijni-monety/</w:t>
      </w:r>
    </w:p>
    <w:p w:rsidR="00CD4267" w:rsidRP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CD4267">
        <w:rPr>
          <w:rFonts w:eastAsia="Andale Sans UI"/>
          <w:kern w:val="1"/>
          <w:sz w:val="28"/>
          <w:szCs w:val="28"/>
          <w:lang w:eastAsia="ru-RU"/>
        </w:rPr>
        <w:t>41. Конституція України. Відомості Верховної Ради України (ВВР), 1996, № 30, ст. 141</w:t>
      </w:r>
    </w:p>
    <w:p w:rsidR="00CD4267" w:rsidRP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CD4267">
        <w:rPr>
          <w:rFonts w:eastAsia="Andale Sans UI"/>
          <w:kern w:val="1"/>
          <w:sz w:val="28"/>
          <w:szCs w:val="28"/>
          <w:lang w:eastAsia="ru-RU"/>
        </w:rPr>
        <w:t xml:space="preserve">42. </w:t>
      </w:r>
      <w:bookmarkStart w:id="1" w:name="o2"/>
      <w:bookmarkEnd w:id="1"/>
      <w:r w:rsidRPr="00CD4267">
        <w:rPr>
          <w:rFonts w:eastAsia="Andale Sans UI"/>
          <w:kern w:val="1"/>
          <w:sz w:val="28"/>
          <w:szCs w:val="28"/>
          <w:lang w:eastAsia="ru-RU"/>
        </w:rPr>
        <w:t xml:space="preserve"> Про виключне право Національного банку України. Указ президента України 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CD4267">
        <w:rPr>
          <w:rFonts w:eastAsia="Andale Sans UI"/>
          <w:kern w:val="1"/>
          <w:sz w:val="28"/>
          <w:szCs w:val="28"/>
          <w:lang w:eastAsia="ru-RU"/>
        </w:rPr>
        <w:t>https://zakon.rada.gov.ua/laws/show/1142/2004</w:t>
      </w:r>
    </w:p>
    <w:p w:rsidR="00CD4267" w:rsidRP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CD4267">
        <w:rPr>
          <w:rFonts w:eastAsia="Andale Sans UI"/>
          <w:kern w:val="1"/>
          <w:sz w:val="28"/>
          <w:szCs w:val="28"/>
          <w:lang w:eastAsia="ru-RU"/>
        </w:rPr>
        <w:t xml:space="preserve">43. Про Національний банк України. </w:t>
      </w:r>
      <w:bookmarkStart w:id="2" w:name="n4"/>
      <w:bookmarkEnd w:id="2"/>
      <w:r w:rsidRPr="00CD4267">
        <w:rPr>
          <w:rFonts w:eastAsia="Andale Sans UI"/>
          <w:kern w:val="1"/>
          <w:sz w:val="28"/>
          <w:szCs w:val="28"/>
          <w:lang w:eastAsia="ru-RU"/>
        </w:rPr>
        <w:t>Відомості Верховної Ради України (ВВР), 1999, № 29, ст.238</w:t>
      </w:r>
    </w:p>
    <w:p w:rsidR="00CD4267" w:rsidRP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CD4267">
        <w:rPr>
          <w:rFonts w:eastAsia="Andale Sans UI"/>
          <w:kern w:val="1"/>
          <w:sz w:val="28"/>
          <w:szCs w:val="28"/>
          <w:lang w:eastAsia="ru-RU"/>
        </w:rPr>
        <w:t>44. Про затвердження Інструкції про організацію виготовлення, випуску в обіг і реалізації пам’ятних та інвестиційних монет України, сувенірної продукції. Постанова Правління Нацбанку від  30.05.2012  № 213 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r w:rsidRPr="00CD4267">
        <w:rPr>
          <w:rFonts w:eastAsia="Andale Sans UI"/>
          <w:kern w:val="1"/>
          <w:sz w:val="28"/>
          <w:szCs w:val="28"/>
          <w:lang w:eastAsia="ru-RU"/>
        </w:rPr>
        <w:t>https://zakon.rada.gov.ua/laws/show/z1044-12</w:t>
      </w:r>
    </w:p>
    <w:p w:rsidR="00CD4267" w:rsidRP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CD4267">
        <w:rPr>
          <w:rFonts w:eastAsia="Andale Sans UI"/>
          <w:kern w:val="1"/>
          <w:sz w:val="28"/>
          <w:szCs w:val="28"/>
          <w:lang w:eastAsia="ru-RU"/>
        </w:rPr>
        <w:t>45. Скільки монет можна вивезти з України? http://kr-admin.gov.ua/start.php?q=Custom/Ua/2/2013/24071310.html</w:t>
      </w:r>
    </w:p>
    <w:p w:rsidR="00CD4267" w:rsidRP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CD4267">
        <w:rPr>
          <w:rFonts w:eastAsia="Andale Sans UI"/>
          <w:kern w:val="1"/>
          <w:sz w:val="28"/>
          <w:szCs w:val="28"/>
          <w:lang w:eastAsia="ru-RU"/>
        </w:rPr>
        <w:t>46</w:t>
      </w:r>
      <w:r>
        <w:rPr>
          <w:rFonts w:eastAsia="Andale Sans UI"/>
          <w:kern w:val="1"/>
          <w:sz w:val="28"/>
          <w:szCs w:val="28"/>
          <w:lang w:eastAsia="ru-RU"/>
        </w:rPr>
        <w:t xml:space="preserve">. </w:t>
      </w:r>
      <w:r w:rsidRPr="00CD4267">
        <w:rPr>
          <w:rFonts w:eastAsia="Andale Sans UI"/>
          <w:kern w:val="1"/>
          <w:sz w:val="28"/>
          <w:szCs w:val="28"/>
          <w:lang w:eastAsia="ru-RU"/>
        </w:rPr>
        <w:t>Про переміщення готівки і банківських металів через митний кордон України</w:t>
      </w:r>
      <w:r>
        <w:rPr>
          <w:rFonts w:eastAsia="Andale Sans UI"/>
          <w:kern w:val="1"/>
          <w:sz w:val="28"/>
          <w:szCs w:val="28"/>
          <w:lang w:eastAsia="ru-RU"/>
        </w:rPr>
        <w:t xml:space="preserve">. Постанова КМУ від </w:t>
      </w:r>
      <w:r w:rsidRPr="00CD4267">
        <w:rPr>
          <w:rFonts w:eastAsia="Andale Sans UI"/>
          <w:kern w:val="1"/>
          <w:sz w:val="28"/>
          <w:szCs w:val="28"/>
          <w:lang w:eastAsia="ru-RU"/>
        </w:rPr>
        <w:t xml:space="preserve"> 27.05.2008  N 148 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hyperlink r:id="rId20" w:history="1">
        <w:r w:rsidRPr="00CD4267">
          <w:rPr>
            <w:rFonts w:eastAsia="Andale Sans UI"/>
            <w:kern w:val="1"/>
            <w:sz w:val="28"/>
            <w:szCs w:val="28"/>
            <w:lang w:eastAsia="ru-RU"/>
          </w:rPr>
          <w:t>https://zakon.rada.gov.ua/laws/show/z0520-08</w:t>
        </w:r>
      </w:hyperlink>
    </w:p>
    <w:p w:rsidR="00CD4267" w:rsidRP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CD4267">
        <w:rPr>
          <w:rFonts w:eastAsia="Andale Sans UI"/>
          <w:kern w:val="1"/>
          <w:sz w:val="28"/>
          <w:szCs w:val="28"/>
          <w:lang w:eastAsia="ru-RU"/>
        </w:rPr>
        <w:t xml:space="preserve">47. </w:t>
      </w:r>
      <w:proofErr w:type="spellStart"/>
      <w:r w:rsidRPr="00CD4267">
        <w:rPr>
          <w:rFonts w:eastAsia="Andale Sans UI"/>
          <w:kern w:val="1"/>
          <w:sz w:val="28"/>
          <w:szCs w:val="28"/>
          <w:lang w:eastAsia="ru-RU"/>
        </w:rPr>
        <w:t>Корнилюк</w:t>
      </w:r>
      <w:proofErr w:type="spellEnd"/>
      <w:r w:rsidRPr="00CD4267">
        <w:rPr>
          <w:rFonts w:eastAsia="Andale Sans UI"/>
          <w:kern w:val="1"/>
          <w:sz w:val="28"/>
          <w:szCs w:val="28"/>
          <w:lang w:eastAsia="ru-RU"/>
        </w:rPr>
        <w:t xml:space="preserve"> Р. Куди рухається ринок інвестиційних монет України? URL</w:t>
      </w:r>
      <w:r>
        <w:rPr>
          <w:rFonts w:eastAsia="Andale Sans UI"/>
          <w:kern w:val="1"/>
          <w:sz w:val="28"/>
          <w:szCs w:val="28"/>
          <w:lang w:eastAsia="ru-RU"/>
        </w:rPr>
        <w:t>:</w:t>
      </w:r>
      <w:r w:rsidRPr="00CD4267">
        <w:rPr>
          <w:rFonts w:eastAsia="Andale Sans UI"/>
          <w:kern w:val="1"/>
          <w:sz w:val="28"/>
          <w:szCs w:val="28"/>
          <w:lang w:eastAsia="ru-RU"/>
        </w:rPr>
        <w:t>http://bankografo.com/kudi-ruhayetsya-rinok-investitsiynih-monet-ukrayini.html</w:t>
      </w:r>
    </w:p>
    <w:p w:rsidR="00CD4267" w:rsidRP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 xml:space="preserve">48. </w:t>
      </w:r>
      <w:r w:rsidRPr="00CD4267">
        <w:rPr>
          <w:rFonts w:eastAsia="Andale Sans UI"/>
          <w:kern w:val="1"/>
          <w:sz w:val="28"/>
          <w:szCs w:val="28"/>
          <w:lang w:eastAsia="ru-RU"/>
        </w:rPr>
        <w:t xml:space="preserve">НБУ </w:t>
      </w:r>
      <w:r>
        <w:rPr>
          <w:rFonts w:eastAsia="Andale Sans UI"/>
          <w:kern w:val="1"/>
          <w:sz w:val="28"/>
          <w:szCs w:val="28"/>
          <w:lang w:eastAsia="ru-RU"/>
        </w:rPr>
        <w:t xml:space="preserve">зафіксував зростання попиту на пам’ятні монети утричі </w:t>
      </w:r>
      <w:r w:rsidRPr="00CD4267">
        <w:rPr>
          <w:rFonts w:eastAsia="Andale Sans UI"/>
          <w:kern w:val="1"/>
          <w:sz w:val="28"/>
          <w:szCs w:val="28"/>
          <w:lang w:eastAsia="ru-RU"/>
        </w:rPr>
        <w:t>URL</w:t>
      </w:r>
      <w:r>
        <w:rPr>
          <w:rFonts w:eastAsia="Andale Sans UI"/>
          <w:kern w:val="1"/>
          <w:sz w:val="28"/>
          <w:szCs w:val="28"/>
          <w:lang w:eastAsia="ru-RU"/>
        </w:rPr>
        <w:t xml:space="preserve">: </w:t>
      </w:r>
      <w:hyperlink r:id="rId21" w:history="1">
        <w:r w:rsidRPr="00CD4267">
          <w:rPr>
            <w:rFonts w:eastAsia="Andale Sans UI"/>
          </w:rPr>
          <w:t>https://np.pl.ua/2019/02/nbu-zafiksuvav-zrostannia-popytu-na-pam-iatni-monety-utrychi/</w:t>
        </w:r>
      </w:hyperlink>
    </w:p>
    <w:p w:rsidR="00CD4267" w:rsidRP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>
        <w:rPr>
          <w:rFonts w:eastAsia="Andale Sans UI"/>
          <w:kern w:val="1"/>
          <w:sz w:val="28"/>
          <w:szCs w:val="28"/>
          <w:lang w:eastAsia="ru-RU"/>
        </w:rPr>
        <w:t xml:space="preserve">49. </w:t>
      </w:r>
      <w:r w:rsidRPr="00CD4267">
        <w:rPr>
          <w:rFonts w:eastAsia="Andale Sans UI"/>
          <w:kern w:val="1"/>
          <w:sz w:val="28"/>
          <w:szCs w:val="28"/>
          <w:lang w:eastAsia="ru-RU"/>
        </w:rPr>
        <w:t xml:space="preserve">Експерт радить купувати золоті інвестиційні монети НБУ замість </w:t>
      </w:r>
      <w:proofErr w:type="spellStart"/>
      <w:r w:rsidRPr="00CD4267">
        <w:rPr>
          <w:rFonts w:eastAsia="Andale Sans UI"/>
          <w:kern w:val="1"/>
          <w:sz w:val="28"/>
          <w:szCs w:val="28"/>
          <w:lang w:eastAsia="ru-RU"/>
        </w:rPr>
        <w:t>доллара</w:t>
      </w:r>
      <w:proofErr w:type="spellEnd"/>
      <w:r w:rsidRPr="00CD4267">
        <w:rPr>
          <w:rFonts w:eastAsia="Andale Sans UI"/>
          <w:kern w:val="1"/>
          <w:sz w:val="28"/>
          <w:szCs w:val="28"/>
          <w:lang w:eastAsia="ru-RU"/>
        </w:rPr>
        <w:t xml:space="preserve"> URL</w:t>
      </w:r>
      <w:r>
        <w:rPr>
          <w:rFonts w:eastAsia="Andale Sans UI"/>
          <w:kern w:val="1"/>
          <w:sz w:val="28"/>
          <w:szCs w:val="28"/>
          <w:lang w:eastAsia="ru-RU"/>
        </w:rPr>
        <w:t>:</w:t>
      </w:r>
      <w:r w:rsidRPr="00CD4267">
        <w:rPr>
          <w:rFonts w:eastAsia="Andale Sans UI"/>
          <w:kern w:val="1"/>
          <w:sz w:val="28"/>
          <w:szCs w:val="28"/>
          <w:lang w:eastAsia="ru-RU"/>
        </w:rPr>
        <w:t>https://ukr.lb.ua/economics/2014/02/07/254618_ekspert_sovetuet_pokupat_zolotie.html</w:t>
      </w:r>
    </w:p>
    <w:p w:rsidR="00CD4267" w:rsidRP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  <w:r w:rsidRPr="00CD4267">
        <w:rPr>
          <w:rFonts w:eastAsia="Andale Sans UI"/>
          <w:kern w:val="1"/>
          <w:sz w:val="28"/>
          <w:szCs w:val="28"/>
          <w:lang w:eastAsia="ru-RU"/>
        </w:rPr>
        <w:t>50. Інвестиційний потенціал дорогоцінних металів URL</w:t>
      </w:r>
      <w:r>
        <w:rPr>
          <w:rFonts w:eastAsia="Andale Sans UI"/>
          <w:kern w:val="1"/>
          <w:sz w:val="28"/>
          <w:szCs w:val="28"/>
          <w:lang w:eastAsia="ru-RU"/>
        </w:rPr>
        <w:t>:</w:t>
      </w:r>
      <w:r w:rsidRPr="00CD4267">
        <w:rPr>
          <w:rFonts w:eastAsia="Andale Sans UI"/>
          <w:kern w:val="1"/>
          <w:sz w:val="28"/>
          <w:szCs w:val="28"/>
          <w:lang w:eastAsia="ru-RU"/>
        </w:rPr>
        <w:t>http://mazhesto.com/investycii-v-dorogocinni-mataly/</w:t>
      </w:r>
    </w:p>
    <w:p w:rsidR="00CD4267" w:rsidRPr="00CD4267" w:rsidRDefault="00CD4267" w:rsidP="00CD426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="Andale Sans UI"/>
          <w:kern w:val="1"/>
          <w:sz w:val="28"/>
          <w:szCs w:val="28"/>
          <w:lang w:eastAsia="ru-RU"/>
        </w:rPr>
      </w:pPr>
    </w:p>
    <w:sectPr w:rsidR="00CD4267" w:rsidRPr="00CD4267" w:rsidSect="00454E2A">
      <w:headerReference w:type="default" r:id="rId2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D51" w:rsidRDefault="005D0D51" w:rsidP="00454E2A">
      <w:pPr>
        <w:spacing w:after="0" w:line="240" w:lineRule="auto"/>
      </w:pPr>
      <w:r>
        <w:separator/>
      </w:r>
    </w:p>
  </w:endnote>
  <w:endnote w:type="continuationSeparator" w:id="0">
    <w:p w:rsidR="005D0D51" w:rsidRDefault="005D0D51" w:rsidP="0045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D51" w:rsidRDefault="005D0D51" w:rsidP="00454E2A">
      <w:pPr>
        <w:spacing w:after="0" w:line="240" w:lineRule="auto"/>
      </w:pPr>
      <w:r>
        <w:separator/>
      </w:r>
    </w:p>
  </w:footnote>
  <w:footnote w:type="continuationSeparator" w:id="0">
    <w:p w:rsidR="005D0D51" w:rsidRDefault="005D0D51" w:rsidP="0045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632829"/>
      <w:docPartObj>
        <w:docPartGallery w:val="Page Numbers (Top of Page)"/>
        <w:docPartUnique/>
      </w:docPartObj>
    </w:sdtPr>
    <w:sdtEndPr/>
    <w:sdtContent>
      <w:p w:rsidR="00CD4267" w:rsidRDefault="005D0D51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16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4267" w:rsidRDefault="00CD42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B71B3"/>
    <w:multiLevelType w:val="multilevel"/>
    <w:tmpl w:val="3B96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468C5"/>
    <w:multiLevelType w:val="multilevel"/>
    <w:tmpl w:val="B3E6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061D8"/>
    <w:multiLevelType w:val="multilevel"/>
    <w:tmpl w:val="D874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336ABF"/>
    <w:multiLevelType w:val="multilevel"/>
    <w:tmpl w:val="CEEE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1A"/>
    <w:rsid w:val="00031B78"/>
    <w:rsid w:val="00036771"/>
    <w:rsid w:val="00095673"/>
    <w:rsid w:val="000E06C5"/>
    <w:rsid w:val="000E449B"/>
    <w:rsid w:val="001505F5"/>
    <w:rsid w:val="00155866"/>
    <w:rsid w:val="001661EF"/>
    <w:rsid w:val="00194B98"/>
    <w:rsid w:val="00242A15"/>
    <w:rsid w:val="002F181A"/>
    <w:rsid w:val="002F1DDC"/>
    <w:rsid w:val="002F6BBA"/>
    <w:rsid w:val="00311D7F"/>
    <w:rsid w:val="00312D93"/>
    <w:rsid w:val="003167CF"/>
    <w:rsid w:val="003C7580"/>
    <w:rsid w:val="003D4426"/>
    <w:rsid w:val="00454E2A"/>
    <w:rsid w:val="00464ECB"/>
    <w:rsid w:val="004764B9"/>
    <w:rsid w:val="004A62F9"/>
    <w:rsid w:val="004E0B95"/>
    <w:rsid w:val="004E25D3"/>
    <w:rsid w:val="0053616C"/>
    <w:rsid w:val="005D0A2D"/>
    <w:rsid w:val="005D0D51"/>
    <w:rsid w:val="005E1E81"/>
    <w:rsid w:val="00635E68"/>
    <w:rsid w:val="006770B8"/>
    <w:rsid w:val="006C76B5"/>
    <w:rsid w:val="00704198"/>
    <w:rsid w:val="0074684E"/>
    <w:rsid w:val="00767DE5"/>
    <w:rsid w:val="00774A78"/>
    <w:rsid w:val="00801684"/>
    <w:rsid w:val="008137C3"/>
    <w:rsid w:val="008978C1"/>
    <w:rsid w:val="008E0D12"/>
    <w:rsid w:val="008E6478"/>
    <w:rsid w:val="009718C5"/>
    <w:rsid w:val="0098314E"/>
    <w:rsid w:val="0099120E"/>
    <w:rsid w:val="00A13860"/>
    <w:rsid w:val="00A20E2F"/>
    <w:rsid w:val="00A34863"/>
    <w:rsid w:val="00A419EF"/>
    <w:rsid w:val="00A7340A"/>
    <w:rsid w:val="00A92398"/>
    <w:rsid w:val="00AD5F65"/>
    <w:rsid w:val="00AE58E0"/>
    <w:rsid w:val="00AF3A55"/>
    <w:rsid w:val="00BA3053"/>
    <w:rsid w:val="00BC0430"/>
    <w:rsid w:val="00BE76E9"/>
    <w:rsid w:val="00C14B14"/>
    <w:rsid w:val="00C276AE"/>
    <w:rsid w:val="00CB657F"/>
    <w:rsid w:val="00CC5269"/>
    <w:rsid w:val="00CD4267"/>
    <w:rsid w:val="00D95766"/>
    <w:rsid w:val="00DC735A"/>
    <w:rsid w:val="00DE3594"/>
    <w:rsid w:val="00E21023"/>
    <w:rsid w:val="00EA41F9"/>
    <w:rsid w:val="00EB7FB1"/>
    <w:rsid w:val="00F25ACE"/>
    <w:rsid w:val="00F61D72"/>
    <w:rsid w:val="00F704D2"/>
    <w:rsid w:val="00F73B5D"/>
    <w:rsid w:val="00F877F2"/>
    <w:rsid w:val="00FC4790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4462"/>
  <w15:docId w15:val="{1D853EB3-EB14-47F7-9A96-40E22986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A55"/>
  </w:style>
  <w:style w:type="paragraph" w:styleId="1">
    <w:name w:val="heading 1"/>
    <w:basedOn w:val="a"/>
    <w:link w:val="10"/>
    <w:uiPriority w:val="9"/>
    <w:qFormat/>
    <w:rsid w:val="00194B9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4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526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D5F65"/>
    <w:rPr>
      <w:color w:val="0000FF" w:themeColor="hyperlink"/>
      <w:u w:val="single"/>
    </w:rPr>
  </w:style>
  <w:style w:type="paragraph" w:customStyle="1" w:styleId="rvps2">
    <w:name w:val="rvps2"/>
    <w:basedOn w:val="a"/>
    <w:rsid w:val="009718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194B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B98"/>
  </w:style>
  <w:style w:type="character" w:customStyle="1" w:styleId="10">
    <w:name w:val="Заголовок 1 Знак"/>
    <w:basedOn w:val="a0"/>
    <w:link w:val="1"/>
    <w:uiPriority w:val="9"/>
    <w:rsid w:val="00194B98"/>
    <w:rPr>
      <w:rFonts w:eastAsia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3D4426"/>
    <w:rPr>
      <w:b/>
      <w:bCs/>
    </w:rPr>
  </w:style>
  <w:style w:type="paragraph" w:styleId="a6">
    <w:name w:val="header"/>
    <w:basedOn w:val="a"/>
    <w:link w:val="a7"/>
    <w:uiPriority w:val="99"/>
    <w:unhideWhenUsed/>
    <w:rsid w:val="0045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E2A"/>
  </w:style>
  <w:style w:type="paragraph" w:styleId="a8">
    <w:name w:val="footer"/>
    <w:basedOn w:val="a"/>
    <w:link w:val="a9"/>
    <w:uiPriority w:val="99"/>
    <w:semiHidden/>
    <w:unhideWhenUsed/>
    <w:rsid w:val="0045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4E2A"/>
  </w:style>
  <w:style w:type="character" w:customStyle="1" w:styleId="20">
    <w:name w:val="Заголовок 2 Знак"/>
    <w:basedOn w:val="a0"/>
    <w:link w:val="2"/>
    <w:uiPriority w:val="9"/>
    <w:rsid w:val="00454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464ECB"/>
    <w:rPr>
      <w:i/>
      <w:iCs/>
    </w:rPr>
  </w:style>
  <w:style w:type="character" w:customStyle="1" w:styleId="spelle">
    <w:name w:val="spelle"/>
    <w:basedOn w:val="a0"/>
    <w:rsid w:val="00BC0430"/>
  </w:style>
  <w:style w:type="character" w:customStyle="1" w:styleId="grame">
    <w:name w:val="grame"/>
    <w:basedOn w:val="a0"/>
    <w:rsid w:val="00BC0430"/>
  </w:style>
  <w:style w:type="paragraph" w:customStyle="1" w:styleId="rvps4">
    <w:name w:val="rvps4"/>
    <w:basedOn w:val="a"/>
    <w:rsid w:val="007041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04198"/>
  </w:style>
  <w:style w:type="paragraph" w:customStyle="1" w:styleId="rvps7">
    <w:name w:val="rvps7"/>
    <w:basedOn w:val="a"/>
    <w:rsid w:val="007041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9">
    <w:name w:val="rvts9"/>
    <w:basedOn w:val="a0"/>
    <w:rsid w:val="00704198"/>
  </w:style>
  <w:style w:type="paragraph" w:styleId="ab">
    <w:name w:val="Balloon Text"/>
    <w:basedOn w:val="a"/>
    <w:link w:val="ac"/>
    <w:uiPriority w:val="99"/>
    <w:semiHidden/>
    <w:unhideWhenUsed/>
    <w:rsid w:val="00F7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3B5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42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2A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15">
    <w:name w:val="rvts15"/>
    <w:basedOn w:val="a0"/>
    <w:rsid w:val="00031B78"/>
  </w:style>
  <w:style w:type="character" w:customStyle="1" w:styleId="rvts46">
    <w:name w:val="rvts46"/>
    <w:basedOn w:val="a0"/>
    <w:rsid w:val="00031B78"/>
  </w:style>
  <w:style w:type="character" w:customStyle="1" w:styleId="rvts11">
    <w:name w:val="rvts11"/>
    <w:basedOn w:val="a0"/>
    <w:rsid w:val="00031B78"/>
  </w:style>
  <w:style w:type="character" w:customStyle="1" w:styleId="rvts44">
    <w:name w:val="rvts44"/>
    <w:basedOn w:val="a0"/>
    <w:rsid w:val="0098314E"/>
  </w:style>
  <w:style w:type="paragraph" w:customStyle="1" w:styleId="rvps15">
    <w:name w:val="rvps15"/>
    <w:basedOn w:val="a"/>
    <w:rsid w:val="009831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8">
    <w:name w:val="rvps8"/>
    <w:basedOn w:val="a"/>
    <w:rsid w:val="009831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4">
    <w:name w:val="rvps14"/>
    <w:basedOn w:val="a"/>
    <w:rsid w:val="009831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1">
    <w:name w:val="rvps1"/>
    <w:basedOn w:val="a"/>
    <w:rsid w:val="00F877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6">
    <w:name w:val="rvps6"/>
    <w:basedOn w:val="a"/>
    <w:rsid w:val="00F877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osted-on">
    <w:name w:val="posted-on"/>
    <w:basedOn w:val="a0"/>
    <w:rsid w:val="00A3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3425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2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650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997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439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090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0%BE%D0%BD%D0%B5%D1%82%D0%B0" TargetMode="External"/><Relationship Id="rId13" Type="http://schemas.openxmlformats.org/officeDocument/2006/relationships/hyperlink" Target="https://uk.wikipedia.org/wiki/%D0%A0%D0%B5%D1%86%D0%B5%D1%81%D1%96%D1%8F" TargetMode="External"/><Relationship Id="rId18" Type="http://schemas.openxmlformats.org/officeDocument/2006/relationships/hyperlink" Target="http://www.ukrgasbank.com/private/coins/nb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p.pl.ua/2019/02/nbu-zafiksuvav-zrostannia-popytu-na-pam-iatni-monety-utrych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A5%D0%B5%D0%B4%D0%B6%D1%83%D0%B2%D0%B0%D0%BD%D0%BD%D1%8F" TargetMode="External"/><Relationship Id="rId17" Type="http://schemas.openxmlformats.org/officeDocument/2006/relationships/hyperlink" Target="http://global-national.in.ua/archive/21-2018/3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142/2004" TargetMode="External"/><Relationship Id="rId20" Type="http://schemas.openxmlformats.org/officeDocument/2006/relationships/hyperlink" Target="https://zakon.rada.gov.ua/laws/show/z0520-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86%D0%BD%D0%B2%D0%B5%D1%81%D1%82%D0%B8%D1%86%D1%96%D1%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679-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k.wikipedia.org/wiki/%D0%97%D0%B0%D0%BE%D1%89%D0%B0%D0%B4%D0%B6%D0%B5%D0%BD%D0%BD%D1%8F" TargetMode="External"/><Relationship Id="rId19" Type="http://schemas.openxmlformats.org/officeDocument/2006/relationships/hyperlink" Target="https://bank.gov.ua/control/uk/bullioncoin/registry/today;jsessionid=F913A7830DB69E7AE08F43C15C4971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4%D0%BE%D1%80%D0%BE%D0%B3%D0%BE%D1%86%D1%96%D0%BD%D0%BD%D1%96_%D0%BC%D0%B5%D1%82%D0%B0%D0%BB%D0%B8" TargetMode="External"/><Relationship Id="rId14" Type="http://schemas.openxmlformats.org/officeDocument/2006/relationships/hyperlink" Target="https://uk.wikipedia.org/wiki/%D0%86%D0%BD%D1%84%D0%BB%D1%8F%D1%86%D1%96%D1%8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47862-EA44-4D8D-988C-7760E21F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Смолярчук</cp:lastModifiedBy>
  <cp:revision>3</cp:revision>
  <dcterms:created xsi:type="dcterms:W3CDTF">2019-02-22T08:14:00Z</dcterms:created>
  <dcterms:modified xsi:type="dcterms:W3CDTF">2019-02-22T08:17:00Z</dcterms:modified>
</cp:coreProperties>
</file>