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D5ABDA" w:rsidR="00F30C2B" w:rsidRPr="00CA10EC" w:rsidRDefault="00CA10EC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br w:type="column"/>
      </w:r>
      <w:r w:rsidR="00A822A1"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ЗМІСТ</w:t>
      </w:r>
    </w:p>
    <w:p w14:paraId="712E8250" w14:textId="77777777" w:rsidR="00CA10EC" w:rsidRPr="00CA10EC" w:rsidRDefault="00CA10EC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02" w14:textId="48F68D41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ВСТУП</w:t>
      </w:r>
      <w:r w:rsidR="00F00475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</w:t>
      </w:r>
      <w:proofErr w:type="gramStart"/>
      <w:r w:rsidR="00F00475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…….</w:t>
      </w:r>
      <w:proofErr w:type="gramEnd"/>
      <w:r w:rsidR="00F00475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.……………………………</w:t>
      </w:r>
      <w:r w:rsidR="005B5E4E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</w:t>
      </w:r>
      <w:r w:rsidR="00843DC0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3</w:t>
      </w:r>
    </w:p>
    <w:p w14:paraId="00000003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РОЗДІЛ 1. ПРАВОВА ОСНОВА ВЗАЄМОДІЇ ПОЛІЦІЇ З ГРОМАДСЬКІСТЮ НА ЗАСАДАХ ПАРТНЕРСТВА</w:t>
      </w:r>
    </w:p>
    <w:p w14:paraId="00000004" w14:textId="0B9428AB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1.1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Повноваження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підрозділів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Національної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реалізують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проекти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громадськістю</w:t>
      </w:r>
      <w:proofErr w:type="spellEnd"/>
      <w:r w:rsidR="005B5E4E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</w:t>
      </w:r>
      <w:proofErr w:type="gramStart"/>
      <w:r w:rsidR="005B5E4E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proofErr w:type="gramEnd"/>
      <w:r w:rsidR="005A171C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</w:p>
    <w:p w14:paraId="00000005" w14:textId="50A0AACB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1.2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Загальна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характеристика принципу “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community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policing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”</w:t>
      </w:r>
      <w:r w:rsidR="005B5E4E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proofErr w:type="gramEnd"/>
      <w:r w:rsidR="005B5E4E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</w:t>
      </w:r>
      <w:r w:rsidR="000E6A1A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="00D97982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</w:p>
    <w:p w14:paraId="00000006" w14:textId="6F8B692D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1.3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Досвід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міжнародних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організацій</w:t>
      </w:r>
      <w:proofErr w:type="spellEnd"/>
      <w:r w:rsidR="005B5E4E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</w:t>
      </w:r>
      <w:r w:rsidR="000E6A1A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5A171C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D97982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14:paraId="792ECA26" w14:textId="77777777" w:rsidR="00CA10EC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РОЗДІЛ 2. ВЗАЄМОДІЯ ГРОМАДСЬКОСТІ З ПОЛІЦІЄЮ В УКРАЇНІ</w:t>
      </w:r>
    </w:p>
    <w:p w14:paraId="38A215EE" w14:textId="2D54C678" w:rsidR="00CA10EC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2.1.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Загальна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характеристика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взаємодії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громадськості</w:t>
      </w:r>
      <w:proofErr w:type="spellEnd"/>
      <w:r w:rsidR="000E6A1A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…………1</w:t>
      </w:r>
      <w:r w:rsidR="00D97982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9</w:t>
      </w:r>
    </w:p>
    <w:p w14:paraId="00000007" w14:textId="40D829A6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2.2.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Спільні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громадськістю</w:t>
      </w:r>
      <w:proofErr w:type="spellEnd"/>
      <w:r w:rsidR="003F3DA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</w:t>
      </w:r>
      <w:proofErr w:type="gramStart"/>
      <w:r w:rsidR="003F3DA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r w:rsidR="00CA10EC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….</w:t>
      </w:r>
      <w:proofErr w:type="gramEnd"/>
      <w:r w:rsidR="003F3DA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</w:t>
      </w:r>
      <w:r w:rsidR="000E6A1A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</w:t>
      </w:r>
      <w:r w:rsidR="00661651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21</w:t>
      </w:r>
    </w:p>
    <w:p w14:paraId="0C3603C0" w14:textId="3FC2AAFC" w:rsidR="00CA10EC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ВИСНОВКИ</w:t>
      </w:r>
      <w:r w:rsidR="003F3DA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……………………………………………………</w:t>
      </w:r>
      <w:r w:rsidR="00F9418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proofErr w:type="gramStart"/>
      <w:r w:rsidR="00F9418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</w:t>
      </w:r>
      <w:r w:rsidR="00CA10EC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</w:t>
      </w:r>
      <w:proofErr w:type="gramEnd"/>
      <w:r w:rsidR="00F9418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</w:t>
      </w:r>
      <w:r w:rsidR="000E6A1A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...</w:t>
      </w:r>
      <w:r w:rsidR="00E808F2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</w:t>
      </w:r>
      <w:r w:rsidR="00661651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4</w:t>
      </w:r>
    </w:p>
    <w:p w14:paraId="00000008" w14:textId="2A264BAE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СПИСОК ВИКОРИСТАНИХ ДЖЕРЕЛ</w:t>
      </w:r>
      <w:r w:rsidR="003F3DA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………………………</w:t>
      </w:r>
      <w:proofErr w:type="gramStart"/>
      <w:r w:rsidR="00F9418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</w:t>
      </w:r>
      <w:r w:rsidR="00CA10EC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</w:t>
      </w:r>
      <w:proofErr w:type="gramEnd"/>
      <w:r w:rsidR="00F9418F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……</w:t>
      </w:r>
      <w:r w:rsidR="000E6A1A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..</w:t>
      </w:r>
      <w:r w:rsidR="00E808F2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2</w:t>
      </w:r>
      <w:r w:rsidR="00661651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6</w:t>
      </w:r>
    </w:p>
    <w:p w14:paraId="0000001C" w14:textId="5A7EDA24" w:rsidR="00F30C2B" w:rsidRPr="00CA10EC" w:rsidRDefault="00CA10EC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 w:type="column"/>
      </w:r>
      <w:r w:rsidR="00A822A1"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>ВСТУП</w:t>
      </w:r>
    </w:p>
    <w:p w14:paraId="0000001D" w14:textId="77777777" w:rsidR="00F30C2B" w:rsidRPr="00CA10EC" w:rsidRDefault="00F30C2B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000001E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Актуальність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дослідження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  <w:t xml:space="preserve">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сьогоднішній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день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світі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відбувається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чимало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злочинів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становлять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загрозу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безпеці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життю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здоров’ю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населення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а одним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із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найважливіших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інструментів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забезпечення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безпеки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є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забезпечення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партнерських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відносин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між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поліцією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населенням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У 2015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Україні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підставі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Закону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України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“Про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Національну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”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з’явилася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і тому стало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актуальним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питання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створення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поліцейської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системи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орієнтовану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відновлення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відносин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Новий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підхід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gram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 першу</w:t>
      </w:r>
      <w:proofErr w:type="gram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чергу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передбачає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запобігання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здійсненню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злочинів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гарантування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безпеки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суспільства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Проте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відносно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новий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орган, тому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наукових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праць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стосовно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особливостей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взаємодії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реалізації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спільних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Україні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недостатньо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0000001F" w14:textId="2C992D28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Стан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наукового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дослідження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.</w:t>
      </w: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Дослідження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теми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курсової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роботи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проводилося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основі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робіт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таких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науковців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як Паливода В. О., Майстренко М.М.,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Бобро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Н. В., Шило Є. П.,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Мердова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О. М., Солнцева Х. В.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інших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00000020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Мета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дослідження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полягає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аналізі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особливостей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реалізації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спільних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00000027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Об’єктом</w:t>
      </w:r>
      <w:proofErr w:type="spellEnd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курсової</w:t>
      </w:r>
      <w:proofErr w:type="spellEnd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роботи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є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суспільні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відносини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виникають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приводу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взаємодії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00000028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Предметом </w:t>
      </w:r>
      <w:proofErr w:type="spellStart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роботи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є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особливості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реалізації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спільних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0000002A" w14:textId="66ACA748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Структура та </w:t>
      </w:r>
      <w:proofErr w:type="spellStart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обсяг</w:t>
      </w:r>
      <w:proofErr w:type="spellEnd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курсової</w:t>
      </w:r>
      <w:proofErr w:type="spellEnd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роботи</w:t>
      </w:r>
      <w:proofErr w:type="spellEnd"/>
      <w:r w:rsidRPr="00CA1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,</w:t>
      </w: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відповідно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 мети,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складається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2</w:t>
      </w:r>
      <w:r w:rsidR="00CA10EC"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en-US"/>
        </w:rPr>
        <w:t> 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розділів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висновків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списку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використаних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джерел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00000039" w14:textId="618886EF" w:rsidR="00F30C2B" w:rsidRPr="00CA10EC" w:rsidRDefault="00CA10EC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 w:type="column"/>
      </w:r>
      <w:r w:rsidR="00A822A1"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lastRenderedPageBreak/>
        <w:t xml:space="preserve">РОЗДІЛ 1. </w:t>
      </w:r>
    </w:p>
    <w:p w14:paraId="0000003A" w14:textId="0437D648" w:rsidR="00F30C2B" w:rsidRPr="00CA10EC" w:rsidRDefault="00A822A1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ПРАВОВА ОСНОВА ВЗАЄМОДІЇ ПОЛІЦІЇ З ГРОМАДСЬКІСТЮ НА ЗАСАДАХ ПАРТНЕРСТВА</w:t>
      </w:r>
    </w:p>
    <w:p w14:paraId="6D24370F" w14:textId="77777777" w:rsidR="00F9418F" w:rsidRPr="00CA10EC" w:rsidRDefault="00F9418F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3C" w14:textId="24FA1E5E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1.1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Повноваження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підрозділів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Національної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реалізують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проекти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громадськістю</w:t>
      </w:r>
      <w:proofErr w:type="spellEnd"/>
    </w:p>
    <w:p w14:paraId="2A6BD3AB" w14:textId="77777777" w:rsidR="00F9418F" w:rsidRPr="00CA10EC" w:rsidRDefault="00F9418F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</w:pPr>
    </w:p>
    <w:p w14:paraId="0000003D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Україні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законодавчому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рівні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закріплено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положення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реалізації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проектів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громадою,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допомагає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яких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вони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потребують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підтримки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залучення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правоохоронних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Патрульна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як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новий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підрозділ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Національної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сьогоднішній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день, напевно,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найгнучкіші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намагається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відповідати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потребам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населення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безпеці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дотриманні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правопорядку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найкоротший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термін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Так, </w:t>
      </w:r>
      <w:proofErr w:type="gram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через велику</w:t>
      </w:r>
      <w:proofErr w:type="gram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кількість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запитів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реалізацію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проектів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Департаменті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патрульної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було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створено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спеціальний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відділ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зв’язків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із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сьогоднішній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день у кожному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де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діють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підрозділи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патрульної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вже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реалізовується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робота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цього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напрямку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діяльності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[21, с.1].</w:t>
      </w:r>
    </w:p>
    <w:p w14:paraId="0000003E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Необхідність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взаємодіі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між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керівниками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територіальних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представниками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місцевого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самоврядування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визначена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статті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88 Закону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України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“Про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Національну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”.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Керівники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територіальних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повинні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менше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одного разу на два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місяці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проводити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відкриті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зустрічі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представниками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місцевого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самоврядування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рівні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областеи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̆,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районів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міст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сіл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метою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налагодження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ефективноі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співпраці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між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поліцією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органами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місцевого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самоврядування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населенням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Також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керівники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територіальних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з метою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підвищення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авторитету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довіри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населення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систематично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інформують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про стан правопорядку, заходи,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вживаються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для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попередження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реагування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правопорушення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14:paraId="00000043" w14:textId="1DA9AD28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1.2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Загальна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характеристика принципу “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community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policing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”</w:t>
      </w:r>
    </w:p>
    <w:p w14:paraId="1164968D" w14:textId="6194D8D5" w:rsidR="00843DC0" w:rsidRPr="00CA10EC" w:rsidRDefault="00843DC0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</w:p>
    <w:p w14:paraId="264F4024" w14:textId="01F60BA3" w:rsidR="003C32C5" w:rsidRPr="00CA10EC" w:rsidRDefault="003C32C5" w:rsidP="00CA10EC">
      <w:pPr>
        <w:pStyle w:val="p1"/>
        <w:spacing w:line="360" w:lineRule="auto"/>
        <w:ind w:firstLine="720"/>
        <w:jc w:val="both"/>
        <w:divId w:val="12307322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умовах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децентралізаціі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влади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з’явилася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необхідність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переходу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традиційно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жорсткоі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поліцейськоі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моделі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до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моделі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реалізаціі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сервісно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орієнтованоі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концепціі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забезпечення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потреб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громади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налагодження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комунікаціи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̆ (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взаємодіі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̈)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поліціі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̈,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органів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місцевого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самоврядування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та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населення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отримала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назву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“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community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policing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”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“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community-oriented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policing</w:t>
      </w:r>
      <w:proofErr w:type="spellEnd"/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</w:rPr>
        <w:t>”</w:t>
      </w:r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[2</w:t>
      </w:r>
      <w:r w:rsidR="00590979" w:rsidRPr="00CA10EC">
        <w:rPr>
          <w:rStyle w:val="s1"/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  <w:lang w:val="ru-RU"/>
        </w:rPr>
        <w:t>, с.</w:t>
      </w:r>
      <w:r w:rsidR="00CA10EC">
        <w:rPr>
          <w:rStyle w:val="s1"/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CA10EC">
        <w:rPr>
          <w:rStyle w:val="s1"/>
          <w:rFonts w:ascii="Times New Roman" w:hAnsi="Times New Roman"/>
          <w:color w:val="000000" w:themeColor="text1"/>
          <w:sz w:val="28"/>
          <w:szCs w:val="28"/>
          <w:lang w:val="ru-RU"/>
        </w:rPr>
        <w:t>79].</w:t>
      </w:r>
    </w:p>
    <w:p w14:paraId="00000044" w14:textId="0F9A952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Термін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«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community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policing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» (англ.) не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усталеного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перекладу. За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змістом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складається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двох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понять:</w:t>
      </w:r>
    </w:p>
    <w:p w14:paraId="00000045" w14:textId="25DF6FCF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1) «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community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» – громада;</w:t>
      </w:r>
    </w:p>
    <w:p w14:paraId="00000046" w14:textId="5FD1398D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2) «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policing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» –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правоохоронна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(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або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поліцейська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)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діяльність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14:paraId="00000047" w14:textId="3858BC74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Найкоротше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визначення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community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policing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–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правоохоронна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діяльність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орієнтована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громаду.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Ширшим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але, на нашу думку,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більш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відповідним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змісту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буде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таке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визначення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: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community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policing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–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правоохоронна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діяльність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орієнтована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потреби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місцевоі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[11, с. 8].</w:t>
      </w:r>
      <w:r w:rsid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</w:p>
    <w:p w14:paraId="00000048" w14:textId="7899BFA5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багатьох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країнах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світу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населення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розглядає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як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організацію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яка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стратегію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запобігання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злочинності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конкретніи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̆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територіі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̈, де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профілактична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робота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стоїть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високому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рівні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рівноцінна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розслідуванням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уже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скоєних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правопорушень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14:paraId="0000005A" w14:textId="77777777" w:rsidR="00F30C2B" w:rsidRPr="00CA10EC" w:rsidRDefault="00F30C2B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</w:p>
    <w:p w14:paraId="0000005B" w14:textId="5C2EE7A9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1.3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Досвід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міжнародних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організацій</w:t>
      </w:r>
      <w:proofErr w:type="spellEnd"/>
    </w:p>
    <w:p w14:paraId="0E7A2F04" w14:textId="77777777" w:rsidR="00B97D01" w:rsidRPr="00CA10EC" w:rsidRDefault="00B97D0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</w:p>
    <w:p w14:paraId="0000005C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Стаття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1 Кодексу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поведінки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посадових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осіб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підтримання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правопорядку,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затвердженого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17.12.1979 року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Резолюцією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Генеральної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Асамблеї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ООН № 34/169,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передбачає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посадові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особи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підтримання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правопорядку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постійно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виконують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свої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обов’язки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слугуючи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захищаючи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всіх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осіб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протиправних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відповідно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високого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ступеня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відповідальності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шо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вимагається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їхньою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професією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[19, с. 164].</w:t>
      </w:r>
    </w:p>
    <w:p w14:paraId="0000005D" w14:textId="138F5E46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Ініціатива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самоорганізаціі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для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забезпечення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безпеки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зародилася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США у 1964 р., коли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волонтери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почали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патрулювати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вулиці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Нью-Йорка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після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вбивства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молодоі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жінки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порозі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їі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будинку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Сусіди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спостерігали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lastRenderedPageBreak/>
        <w:t>вбивством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але не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допомогли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жертві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Ця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подія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набула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широкого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розголосу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мешканці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району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Квінс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об’єдналися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добровільні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загони,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патрулювали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вулиці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повідомляли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усіх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підозрілих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осіб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У 1972 р.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Національна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асоціація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шерифів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розпочала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співробітництво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цим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рухом, створивши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програму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«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Сусідськии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̆ дозор» («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Neighborhood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Watch»).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Після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терактів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11 вересня 2001 р.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діяльність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програми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вийшла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за рамки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своєі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традиційноі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ролі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профілактики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злочинності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зосередивши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зусилля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виявленні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терористичних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загроз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попередженні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надзвичайних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ситуаціи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̆ [5, с. 7]</w:t>
      </w:r>
    </w:p>
    <w:p w14:paraId="0000005E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Японії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використанню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ресурсу,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відміну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інших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країн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світу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приділяється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значна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увага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протягом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кількох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десятиліть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відомій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науковій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К.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Уеда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«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Злочинність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кримінологія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сучасній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Японії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» (1989 р.)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зазначається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базисом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японської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моделі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запобігання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злочинності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можна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вважати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тісні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зв’язки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місцевого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населення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Для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цього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Японії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створюються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Асоціації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запобігання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злочинності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функціонують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цього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часу.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Представлені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організації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правоохоронної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спрямованості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були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створені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ще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30‑х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рр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ХХ ст., а з 60‑х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рр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ХХ ст.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їх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діяльність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набула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загальнодержавного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характеру. Вони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створюються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поліцейських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відділках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фактично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представляють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собою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посередницьку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ланку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взаємодії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японської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населенням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[20, с. 125].</w:t>
      </w:r>
    </w:p>
    <w:p w14:paraId="0000006F" w14:textId="6B41F6A5" w:rsidR="00F30C2B" w:rsidRPr="00CA10EC" w:rsidRDefault="00A822A1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РОЗДІЛ 2.</w:t>
      </w:r>
    </w:p>
    <w:p w14:paraId="00000070" w14:textId="53582452" w:rsidR="00F30C2B" w:rsidRPr="00CA10EC" w:rsidRDefault="00A822A1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ВЗАЄМОДІЯ ГРОМАДСЬКОСТІ З ПОЛІЦІЄЮ В УКРАЇНІ</w:t>
      </w:r>
    </w:p>
    <w:p w14:paraId="77763A79" w14:textId="77777777" w:rsidR="00B97D01" w:rsidRPr="00CA10EC" w:rsidRDefault="00B97D01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59FB9861" w14:textId="77777777" w:rsid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2.1.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Загальна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характеристика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взаємодії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громадськості</w:t>
      </w:r>
      <w:proofErr w:type="spellEnd"/>
    </w:p>
    <w:p w14:paraId="52492202" w14:textId="77777777" w:rsidR="00CA10EC" w:rsidRDefault="00CA10EC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</w:pPr>
    </w:p>
    <w:p w14:paraId="00000072" w14:textId="241199E1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Законодавчо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прописано,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рівень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довіри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населення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̈ є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основним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критерієм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оцінки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ефективності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діяльності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підрозділів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̈.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Згадаємо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ще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початку 1990-х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років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рівень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довіри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українського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суспільства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правоохоронних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був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однозначно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негативним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Більше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половини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громадян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вже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тоді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повністю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або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частково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не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довіряли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̈. За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сучасних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умов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більшість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населення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швидше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довіряють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новіи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̆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̈. Так, за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даними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статистики,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проводилася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незалежним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Дослідницьким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центром «SPHERA»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наприкінці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2015 року,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однією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головних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позитивних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характеристик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фактично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усі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респонденти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назвали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їі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ввічливість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і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коректність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спілкуванні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громадянами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[9, с. 112]. </w:t>
      </w:r>
    </w:p>
    <w:p w14:paraId="00000073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Громадяни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України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відповідно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Конституції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України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право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створювати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обʼєднання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участі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охороні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порядку,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сприяння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органам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місцевого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самоврядування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запобіганні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припиненні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адміністративних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правопорушень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злочинів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охорони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порядку і державного кордону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можуть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бути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створені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засадах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самодіяльності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як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зведені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загони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групи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),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сприяння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Національній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[16, с. 107].</w:t>
      </w:r>
    </w:p>
    <w:p w14:paraId="10B97850" w14:textId="04FAC2D7" w:rsidR="00B97D01" w:rsidRPr="00CA10EC" w:rsidRDefault="00B97D0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</w:p>
    <w:p w14:paraId="0000007A" w14:textId="36495F3E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2.2.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Спільні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проекти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громадськістю</w:t>
      </w:r>
      <w:proofErr w:type="spellEnd"/>
    </w:p>
    <w:p w14:paraId="37D7A09F" w14:textId="77777777" w:rsidR="00B97D01" w:rsidRPr="00CA10EC" w:rsidRDefault="00B97D0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</w:p>
    <w:p w14:paraId="0000007B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Взаємодію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час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забезпечення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публічноі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безпеки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порядку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здійснюють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різних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формах,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серед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яких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спільні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патрулювання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рейди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обходи, огляди;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спільне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планування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заходів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щодо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охорони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публічного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порядку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боротьби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правопорушенням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;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узгодження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конкретних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самостійних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заходів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(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лекціи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̆,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бесід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рейдів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оглядів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тощо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);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інструктаж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поліцейськими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членів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правоохоронноі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організаціі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̈;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спільнии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̆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аналіз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оперативноі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обстановки;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інформування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про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виявлені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причини й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умови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порушення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публічного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порядку,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спільні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наради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семінари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збори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;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навчання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представників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техніці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забезпечення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публічноі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безпеки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і порядку,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профілактичніи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̆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роботі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тощо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14:paraId="0000007C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Форми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участі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членів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формувань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можна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систематизувати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за такими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напрямами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14:paraId="00000086" w14:textId="5CA002CA" w:rsidR="00F30C2B" w:rsidRPr="00CA10EC" w:rsidRDefault="00A822A1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ВИСНОВКИ</w:t>
      </w:r>
    </w:p>
    <w:p w14:paraId="19A581BC" w14:textId="77777777" w:rsidR="00FC3524" w:rsidRPr="00CA10EC" w:rsidRDefault="00FC3524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</w:p>
    <w:p w14:paraId="00000087" w14:textId="011FB23F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Відповідно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поставлених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завдань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було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всебічно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повно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розглянуто</w:t>
      </w:r>
      <w:proofErr w:type="spellEnd"/>
      <w:r w:rsid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особливості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реалізації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спільних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14:paraId="00000088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lastRenderedPageBreak/>
        <w:t>Повноваження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органів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підрозділів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Національної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які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реалізують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проекти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закріплені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в Законах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України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“Про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Національну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” та “Про участь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громадян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в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охороні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громадського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порядку та державного кордону”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відповідно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до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цих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нормативно-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правових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актів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найбільше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повноважень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взаємозв’язках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громадськістю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покладено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патрульну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</w:p>
    <w:p w14:paraId="00000089" w14:textId="77777777" w:rsidR="00F30C2B" w:rsidRPr="00CA10EC" w:rsidRDefault="00A822A1" w:rsidP="00CA10E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Сутність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принципу «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Сommunity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policing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»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полягає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у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співпраці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поліції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суспільства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щодо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вирішення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проблем з метою,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що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поліція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може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ефективно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здійснювати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свою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правоохоронну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функцію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лише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за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умови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постійноі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взаємодіі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та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комунікаціі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̈ з </w:t>
      </w:r>
      <w:proofErr w:type="spellStart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населенням</w:t>
      </w:r>
      <w:proofErr w:type="spellEnd"/>
      <w:r w:rsidRPr="00CA10E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</w:p>
    <w:p w14:paraId="00000098" w14:textId="0197DA20" w:rsidR="00F30C2B" w:rsidRPr="00CA10EC" w:rsidRDefault="00A822A1" w:rsidP="00CA10E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  <w:r w:rsidRPr="00CA1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  <w:t>СПИСОК ВИКОРИСТАНИХ ДЖЕРЕЛ</w:t>
      </w:r>
    </w:p>
    <w:p w14:paraId="2B5F21EF" w14:textId="77777777" w:rsidR="00F90D79" w:rsidRPr="001D15AA" w:rsidRDefault="00F90D79" w:rsidP="00F90D79">
      <w:pPr>
        <w:pStyle w:val="1"/>
        <w:keepNext w:val="0"/>
        <w:keepLines w:val="0"/>
        <w:numPr>
          <w:ilvl w:val="0"/>
          <w:numId w:val="2"/>
        </w:numPr>
        <w:spacing w:before="0"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ООН оголошує грант для розвитку партнерства з поліцією. UNDP. 2020. URL: </w:t>
      </w:r>
      <w:hyperlink r:id="rId7">
        <w:r w:rsidRPr="001D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EFEFE"/>
            <w:lang w:val="uk-UA"/>
          </w:rPr>
          <w:t>https://www.ua.undp.org/content/ukraine/uk/home/recovery-and-peacebuilding/grant-opportunities-UN-RPP/UN-RPP-grant-to-support-partnership-between-police-and-communities.html</w:t>
        </w:r>
      </w:hyperlink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. </w:t>
      </w:r>
    </w:p>
    <w:p w14:paraId="7BA58E09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Закон України “Про Національну поліцію”. URL: </w:t>
      </w:r>
      <w:hyperlink r:id="rId8" w:anchor="n943">
        <w:r w:rsidRPr="001D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EFEFE"/>
            <w:lang w:val="uk-UA"/>
          </w:rPr>
          <w:t>https://zakon.rada.gov.ua/laws/show/580-19/conv#n943</w:t>
        </w:r>
      </w:hyperlink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 (дата звернення: 9.12.2020).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Шадська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 У. Безпека громади: пошук спільних рішень. Посібник. 2018. Київ. URL: </w:t>
      </w:r>
      <w:hyperlink r:id="rId9">
        <w:r w:rsidRPr="001D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EFEFE"/>
            <w:lang w:val="uk-UA"/>
          </w:rPr>
          <w:t>https://decentralization.gov.ua/uploads/library/file/350/Bezpeka_Hromad.pdf</w:t>
        </w:r>
      </w:hyperlink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. </w:t>
      </w:r>
    </w:p>
    <w:p w14:paraId="1946E2A9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Логвиненко Б. О., Кравченко І. С. Взаємодія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поліціі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̈ та суспільства на засадах партнерства в діяльності підрозділів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превентивноі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̈ діяльності.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Дніпроп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.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держ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. ун-т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внутр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. справ. 2018. Дніпро. 20 с. </w:t>
      </w:r>
    </w:p>
    <w:p w14:paraId="4F723CBE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Паливода В.О. Іноземний досвід залучення громадянського суспільства до загальнодержавних систем протидії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терроризму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. Відділ проблем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національноі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̈ безпеки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Національнии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̆ інститут стратегічних досліджень. 2018. 15 с. </w:t>
      </w:r>
    </w:p>
    <w:p w14:paraId="6C912C92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Закон України “Про участь громадян в охороні громадського порядку і державного кордону”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. URL: </w:t>
      </w:r>
      <w:hyperlink r:id="rId10" w:anchor="Text">
        <w:r w:rsidRPr="001D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EFEFE"/>
            <w:lang w:val="uk-UA"/>
          </w:rPr>
          <w:t>https://zakon.rada.gov.ua/laws/show/1835-14#Text</w:t>
        </w:r>
      </w:hyperlink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 </w:t>
      </w:r>
    </w:p>
    <w:p w14:paraId="1867DE4B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</w:pP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lastRenderedPageBreak/>
        <w:t>Майстренко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 М.М. Імплементація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концепціі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community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policing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: від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філософськоі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 xml:space="preserve">̈ доктрини до дієвого стратегічного напряму.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EFEFE"/>
          <w:lang w:val="uk-UA"/>
        </w:rPr>
        <w:t>Науковии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EFEFE"/>
          <w:lang w:val="uk-UA"/>
        </w:rPr>
        <w:t>̆ вісник ЛДУВС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. № 2. 2017. С. 40-46.</w:t>
      </w:r>
    </w:p>
    <w:p w14:paraId="63C7A375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Бобро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Н.В. Зарубіжні практики поліції та населення.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Архиваруис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Київ. 2016. С. 116-120.</w:t>
      </w:r>
    </w:p>
    <w:p w14:paraId="7CD6B2E4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Розвиток та зміцнення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взаємодіі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Національноі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поліціі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України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населення на засадах партнерства – основа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ефективноі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природоохоронноі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функціі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держави.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Visegrad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Journal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on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Human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Rights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 4. 2016. С. 109-115.</w:t>
      </w:r>
    </w:p>
    <w:p w14:paraId="5399CA8A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Костюшко О. П. Залучення громадян до охорони громадського порядку.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Науковии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̆ вісник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Національноі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академіі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̈ внутрішніх справ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2017. № 2. С. 193-210.</w:t>
      </w:r>
    </w:p>
    <w:p w14:paraId="4DFBF7C2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Копіна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О. П., Мірошник О. С., Сердюк О. О. Діалог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поліціі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та громади як соціальна технологія впровадження принципів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community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policing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місцевіи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̆ громаді. ХНУВС. Харків. 2018. 124 с. </w:t>
      </w:r>
    </w:p>
    <w:p w14:paraId="565CAF55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Шило Є. П. Правові принципи діяльності національної поліції України. </w:t>
      </w:r>
      <w:r w:rsidRPr="001D1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Актуальні проблеми вітчизняної юриспруденції. 2018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№ 6. С. 154-164.</w:t>
      </w:r>
    </w:p>
    <w:p w14:paraId="3CBF3243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Мердова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О. М. Значення спільних проектів з громадськістю щодо створення безпечного середовища. </w:t>
      </w:r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Актуальні питання забезпечення публічної безпеки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Маріуполь. 2018. С. 151-154.</w:t>
      </w:r>
    </w:p>
    <w:p w14:paraId="0DF7FAC7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Медведенко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С. В. Зарубіжний досвід взаємодії поліції з громадськістю на прикладі Великобританії та Бельгії. </w:t>
      </w:r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Актуальні проблеми держави і права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2019. С. 135-142.</w:t>
      </w:r>
    </w:p>
    <w:p w14:paraId="7D5C4DE0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Мамчур Л.О. Взаємодія органів поліції з громадськістю: адміністративно-правові аспекти. </w:t>
      </w:r>
      <w:r w:rsidRPr="001D1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Соціологія права.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2018. № 3.  С. 54-58.</w:t>
      </w:r>
    </w:p>
    <w:p w14:paraId="5924834F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Василевич В. В., Пашковський М. В. Взаємодія поліції та громади в запобіганні злочинам. </w:t>
      </w:r>
      <w:r w:rsidRPr="001D1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Редакційна колегія.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2019. С. 104-109.</w:t>
      </w:r>
    </w:p>
    <w:p w14:paraId="68CE4E21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Іщенко Л. В. Практична реалізація в Україні партнерської взаємодії поліції та громади як важливого принципу реформування правоохоронної системи. </w:t>
      </w:r>
      <w:r w:rsidRPr="001D1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Порівняльно-аналітичне право.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2018. № 2. С. 218-223.</w:t>
      </w:r>
    </w:p>
    <w:p w14:paraId="4D983F6C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Солнцева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Х. В. Деякі питання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поліцейськоі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̈ діяльності. </w:t>
      </w:r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Право та </w:t>
      </w:r>
      <w:proofErr w:type="spellStart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інноваціі</w:t>
      </w:r>
      <w:proofErr w:type="spellEnd"/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̈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№ 1. 2017. С. 111-115. </w:t>
      </w:r>
    </w:p>
    <w:p w14:paraId="64C6009A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Шевченко С. І. Особливості взаємодії національної поліції з громадськістю в процесі забезпечення публічного порядку. </w:t>
      </w:r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Науковий вісник публічного і приватного права.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 6. 2017. С. 162-166.</w:t>
      </w:r>
    </w:p>
    <w:p w14:paraId="1B120324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Колодяжний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М. Г. Сучасний зарубіжний досвід громадського впливу на злочинність. Харків. </w:t>
      </w:r>
      <w:r w:rsidRPr="001D15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Право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2017. 252 с.</w:t>
      </w:r>
    </w:p>
    <w:p w14:paraId="1D0F44D6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Community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policing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взаємодія поліції та громади.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Проактивність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Діалог.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Спільнодія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2018. URL: </w:t>
      </w:r>
      <w:hyperlink r:id="rId11">
        <w:r w:rsidRPr="001D15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https://ldn.org.ua/wp-content/uploads/2018/10/23_file.pdf</w:t>
        </w:r>
      </w:hyperlink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6DD08787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Сибірна Р. І., </w:t>
      </w:r>
      <w:proofErr w:type="spellStart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Гап’як</w:t>
      </w:r>
      <w:proofErr w:type="spellEnd"/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С. С. Взаємодія поліції та населення як обов’язкова умова забезпечення безпеки та громадського порядку. </w:t>
      </w:r>
      <w:r w:rsidRPr="001D1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Львівський державний університет внутрішніх справ.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2017. С. 40-43.</w:t>
      </w:r>
    </w:p>
    <w:p w14:paraId="73EC3250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Мельник В. І. Впровадження </w:t>
      </w:r>
      <w:proofErr w:type="spellStart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community</w:t>
      </w:r>
      <w:proofErr w:type="spellEnd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policing</w:t>
      </w:r>
      <w:proofErr w:type="spellEnd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діяльність дільничних офіцерів поліції під час охорони публічного порядку в сільській місцевості. Одеські юридичні читання. Одеса. Видавничий дім "</w:t>
      </w:r>
      <w:proofErr w:type="spellStart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Гельветика</w:t>
      </w:r>
      <w:proofErr w:type="spellEnd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". 2017. С. 297-300.</w:t>
      </w:r>
    </w:p>
    <w:p w14:paraId="47531309" w14:textId="77777777" w:rsidR="00F90D79" w:rsidRPr="001D15AA" w:rsidRDefault="00F90D79" w:rsidP="00F90D79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Шайхет</w:t>
      </w:r>
      <w:proofErr w:type="spellEnd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С.О.</w:t>
      </w:r>
      <w:r w:rsidRPr="001D15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Карпенко Ю.В. Концепція </w:t>
      </w:r>
      <w:proofErr w:type="spellStart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community</w:t>
      </w:r>
      <w:proofErr w:type="spellEnd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policing</w:t>
      </w:r>
      <w:proofErr w:type="spellEnd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</w:t>
      </w:r>
      <w:r w:rsidRPr="001D15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інструмент </w:t>
      </w:r>
      <w:proofErr w:type="spellStart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ефекивної</w:t>
      </w:r>
      <w:proofErr w:type="spellEnd"/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взаємодії національної поліції, місцевих органів влади та громад: український та зарубіжний досвід упровадження</w:t>
      </w:r>
      <w:r w:rsidRPr="001D15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D15AA">
        <w:rPr>
          <w:rStyle w:val="s1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Вісник НАДУ.</w:t>
      </w:r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2018. № 4. </w:t>
      </w:r>
      <w:r w:rsidRPr="001D1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Pr="001D15AA">
        <w:rPr>
          <w:rStyle w:val="s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78-86</w:t>
      </w:r>
      <w:r w:rsidRPr="001D15AA">
        <w:rPr>
          <w:rStyle w:val="s1"/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B9873D1" w14:textId="4AE76D76" w:rsidR="008E1439" w:rsidRPr="00323ECE" w:rsidRDefault="008E1439" w:rsidP="00F90D79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8E1439" w:rsidRPr="00323ECE" w:rsidSect="00CA10EC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D9EB" w14:textId="77777777" w:rsidR="00737688" w:rsidRDefault="00737688" w:rsidP="00E45E64">
      <w:pPr>
        <w:spacing w:line="240" w:lineRule="auto"/>
      </w:pPr>
      <w:r>
        <w:separator/>
      </w:r>
    </w:p>
  </w:endnote>
  <w:endnote w:type="continuationSeparator" w:id="0">
    <w:p w14:paraId="44D52DAA" w14:textId="77777777" w:rsidR="00737688" w:rsidRDefault="00737688" w:rsidP="00E45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80AF" w14:textId="77777777" w:rsidR="00737688" w:rsidRDefault="00737688" w:rsidP="00E45E64">
      <w:pPr>
        <w:spacing w:line="240" w:lineRule="auto"/>
      </w:pPr>
      <w:r>
        <w:separator/>
      </w:r>
    </w:p>
  </w:footnote>
  <w:footnote w:type="continuationSeparator" w:id="0">
    <w:p w14:paraId="6E0A9BE2" w14:textId="77777777" w:rsidR="00737688" w:rsidRDefault="00737688" w:rsidP="00E45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66355499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10AAA52" w14:textId="06F547AC" w:rsidR="00E45E64" w:rsidRDefault="00E45E64" w:rsidP="0047457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681BD84" w14:textId="77777777" w:rsidR="00E45E64" w:rsidRDefault="00E45E64" w:rsidP="00E45E6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699285183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122831F0" w14:textId="0E315B07" w:rsidR="00E45E64" w:rsidRDefault="00E45E64" w:rsidP="0047457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26</w:t>
        </w:r>
        <w:r>
          <w:rPr>
            <w:rStyle w:val="a9"/>
          </w:rPr>
          <w:fldChar w:fldCharType="end"/>
        </w:r>
      </w:p>
    </w:sdtContent>
  </w:sdt>
  <w:p w14:paraId="43669588" w14:textId="77777777" w:rsidR="00E45E64" w:rsidRDefault="00E45E64" w:rsidP="00E45E6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B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D50F7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6655A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2B"/>
    <w:rsid w:val="000E6A1A"/>
    <w:rsid w:val="00133857"/>
    <w:rsid w:val="001522AB"/>
    <w:rsid w:val="001571A0"/>
    <w:rsid w:val="002346E1"/>
    <w:rsid w:val="00256151"/>
    <w:rsid w:val="002A0F39"/>
    <w:rsid w:val="00323ECE"/>
    <w:rsid w:val="00333104"/>
    <w:rsid w:val="00342BB9"/>
    <w:rsid w:val="003B3E42"/>
    <w:rsid w:val="003C32C5"/>
    <w:rsid w:val="003F3DAF"/>
    <w:rsid w:val="004919D0"/>
    <w:rsid w:val="004E150E"/>
    <w:rsid w:val="004F594B"/>
    <w:rsid w:val="005269D6"/>
    <w:rsid w:val="0052742A"/>
    <w:rsid w:val="00560833"/>
    <w:rsid w:val="00590979"/>
    <w:rsid w:val="00591BD8"/>
    <w:rsid w:val="005A171C"/>
    <w:rsid w:val="005A1A0E"/>
    <w:rsid w:val="005B5E4E"/>
    <w:rsid w:val="005F39C6"/>
    <w:rsid w:val="006338A6"/>
    <w:rsid w:val="00661651"/>
    <w:rsid w:val="00705259"/>
    <w:rsid w:val="007321EE"/>
    <w:rsid w:val="00736B51"/>
    <w:rsid w:val="00737688"/>
    <w:rsid w:val="007B58EF"/>
    <w:rsid w:val="00843DC0"/>
    <w:rsid w:val="008E1439"/>
    <w:rsid w:val="00A822A1"/>
    <w:rsid w:val="00A94B74"/>
    <w:rsid w:val="00AE46DE"/>
    <w:rsid w:val="00B314A6"/>
    <w:rsid w:val="00B41444"/>
    <w:rsid w:val="00B434A6"/>
    <w:rsid w:val="00B81B72"/>
    <w:rsid w:val="00B97D01"/>
    <w:rsid w:val="00BE6D5C"/>
    <w:rsid w:val="00C077B2"/>
    <w:rsid w:val="00C20991"/>
    <w:rsid w:val="00CA10EC"/>
    <w:rsid w:val="00CF2520"/>
    <w:rsid w:val="00D24E00"/>
    <w:rsid w:val="00D53A2E"/>
    <w:rsid w:val="00D97982"/>
    <w:rsid w:val="00E45E64"/>
    <w:rsid w:val="00E506A6"/>
    <w:rsid w:val="00E71385"/>
    <w:rsid w:val="00E808F2"/>
    <w:rsid w:val="00EA77BD"/>
    <w:rsid w:val="00F00475"/>
    <w:rsid w:val="00F30C2B"/>
    <w:rsid w:val="00F90D79"/>
    <w:rsid w:val="00F9418F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7E8F"/>
  <w15:docId w15:val="{2EB752B3-40BC-DE4B-B0C4-96B15F9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45E64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E64"/>
  </w:style>
  <w:style w:type="paragraph" w:styleId="a7">
    <w:name w:val="footer"/>
    <w:basedOn w:val="a"/>
    <w:link w:val="a8"/>
    <w:uiPriority w:val="99"/>
    <w:unhideWhenUsed/>
    <w:rsid w:val="00E45E64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E64"/>
  </w:style>
  <w:style w:type="character" w:styleId="a9">
    <w:name w:val="page number"/>
    <w:basedOn w:val="a0"/>
    <w:uiPriority w:val="99"/>
    <w:semiHidden/>
    <w:unhideWhenUsed/>
    <w:rsid w:val="00E45E64"/>
  </w:style>
  <w:style w:type="paragraph" w:styleId="aa">
    <w:name w:val="List Paragraph"/>
    <w:basedOn w:val="a"/>
    <w:uiPriority w:val="34"/>
    <w:qFormat/>
    <w:rsid w:val="00F9418F"/>
    <w:pPr>
      <w:ind w:left="720"/>
      <w:contextualSpacing/>
    </w:pPr>
  </w:style>
  <w:style w:type="paragraph" w:customStyle="1" w:styleId="p1">
    <w:name w:val="p1"/>
    <w:basedOn w:val="a"/>
    <w:rsid w:val="008E1439"/>
    <w:pPr>
      <w:spacing w:line="240" w:lineRule="auto"/>
    </w:pPr>
    <w:rPr>
      <w:rFonts w:ascii=".SF UI" w:eastAsiaTheme="minorEastAsia" w:hAnsi=".SF UI" w:cs="Times New Roman"/>
      <w:sz w:val="18"/>
      <w:szCs w:val="18"/>
    </w:rPr>
  </w:style>
  <w:style w:type="character" w:customStyle="1" w:styleId="s1">
    <w:name w:val="s1"/>
    <w:basedOn w:val="a0"/>
    <w:rsid w:val="008E1439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7B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0-19/con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a.undp.org/content/ukraine/uk/home/recovery-and-peacebuilding/grant-opportunities-UN-RPP/UN-RPP-grant-to-support-partnership-between-police-and-communitie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dn.org.ua/wp-content/uploads/2018/10/23_fil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83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entralization.gov.ua/uploads/library/file/350/Bezpeka_Hroma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Смолярчук</cp:lastModifiedBy>
  <cp:revision>7</cp:revision>
  <dcterms:created xsi:type="dcterms:W3CDTF">2020-12-09T12:11:00Z</dcterms:created>
  <dcterms:modified xsi:type="dcterms:W3CDTF">2021-12-01T12:40:00Z</dcterms:modified>
</cp:coreProperties>
</file>